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FE4DAA" w:rsidRPr="00896919" w:rsidRDefault="00FE4DAA" w:rsidP="005917C2">
      <w:pPr>
        <w:spacing w:line="240" w:lineRule="auto"/>
        <w:rPr>
          <w:rFonts w:ascii="Calibri" w:eastAsia="MS UI Gothic" w:hAnsi="Calibri" w:cs="Cordia New"/>
          <w:b/>
          <w:bCs/>
          <w:sz w:val="22"/>
          <w:szCs w:val="22"/>
          <w:cs/>
        </w:rPr>
      </w:pPr>
    </w:p>
    <w:p w14:paraId="0A37501D" w14:textId="77777777" w:rsidR="00FE4DAA" w:rsidRPr="00902FAE" w:rsidRDefault="00FE4DAA" w:rsidP="005917C2">
      <w:pPr>
        <w:spacing w:line="240" w:lineRule="auto"/>
        <w:rPr>
          <w:rFonts w:ascii="Calibri" w:eastAsia="MS UI Gothic" w:hAnsi="Calibri" w:cs="Calibri"/>
          <w:b/>
          <w:bCs/>
          <w:sz w:val="22"/>
          <w:szCs w:val="22"/>
        </w:rPr>
      </w:pPr>
    </w:p>
    <w:p w14:paraId="5DAB6C7B" w14:textId="77777777" w:rsidR="00FE4DAA" w:rsidRPr="00902FAE" w:rsidRDefault="00FE4DAA" w:rsidP="005917C2">
      <w:pPr>
        <w:spacing w:line="240" w:lineRule="auto"/>
        <w:rPr>
          <w:rFonts w:ascii="Calibri" w:eastAsia="MS UI Gothic" w:hAnsi="Calibri" w:cs="Calibri"/>
          <w:b/>
          <w:bCs/>
          <w:sz w:val="22"/>
          <w:szCs w:val="22"/>
        </w:rPr>
      </w:pPr>
    </w:p>
    <w:p w14:paraId="02EB378F" w14:textId="77777777" w:rsidR="00FE4DAA" w:rsidRPr="00902FAE" w:rsidRDefault="00FE4DAA" w:rsidP="005917C2">
      <w:pPr>
        <w:spacing w:line="240" w:lineRule="auto"/>
        <w:rPr>
          <w:rFonts w:ascii="Calibri" w:eastAsia="MS UI Gothic" w:hAnsi="Calibri" w:cs="Calibri"/>
          <w:b/>
          <w:bCs/>
          <w:sz w:val="22"/>
          <w:szCs w:val="22"/>
        </w:rPr>
      </w:pPr>
    </w:p>
    <w:p w14:paraId="6A05A809" w14:textId="77777777" w:rsidR="00FE4DAA" w:rsidRPr="00902FAE" w:rsidRDefault="00FE4DAA" w:rsidP="005917C2">
      <w:pPr>
        <w:spacing w:line="240" w:lineRule="auto"/>
        <w:rPr>
          <w:rFonts w:ascii="Calibri" w:eastAsia="MS UI Gothic" w:hAnsi="Calibri" w:cs="Calibri"/>
          <w:b/>
          <w:bCs/>
          <w:sz w:val="22"/>
          <w:szCs w:val="22"/>
        </w:rPr>
      </w:pPr>
    </w:p>
    <w:p w14:paraId="5A39BBE3" w14:textId="77777777" w:rsidR="0097482D" w:rsidRPr="00D63E47" w:rsidRDefault="0097482D" w:rsidP="00082F6B">
      <w:pPr>
        <w:spacing w:after="200"/>
        <w:rPr>
          <w:rFonts w:ascii="Calibri" w:eastAsia="MS UI Gothic" w:hAnsi="Calibri" w:cs="Cordia New"/>
          <w:b/>
          <w:bCs/>
          <w:sz w:val="16"/>
          <w:szCs w:val="16"/>
        </w:rPr>
      </w:pPr>
      <w:bookmarkStart w:id="0" w:name="SubTitle"/>
    </w:p>
    <w:p w14:paraId="5147E145" w14:textId="77777777" w:rsidR="00082F6B" w:rsidRPr="008A37E9" w:rsidRDefault="008C2B8F" w:rsidP="00082F6B">
      <w:pPr>
        <w:spacing w:after="200"/>
        <w:rPr>
          <w:rFonts w:ascii="Calibri" w:eastAsia="MS UI Gothic" w:hAnsi="Calibri" w:cs="Cordia New"/>
          <w:b/>
          <w:bCs/>
          <w:sz w:val="28"/>
          <w:szCs w:val="28"/>
          <w:cs/>
        </w:rPr>
      </w:pPr>
      <w:r w:rsidRPr="0030253A">
        <w:rPr>
          <w:rFonts w:ascii="Calibri" w:eastAsia="MS UI Gothic" w:hAnsi="Calibri" w:cs="Calibri"/>
          <w:b/>
          <w:bCs/>
          <w:sz w:val="28"/>
          <w:szCs w:val="28"/>
        </w:rPr>
        <w:t xml:space="preserve">GENERAL ENVIRONMENTAL CONSERVATION </w:t>
      </w:r>
      <w:r w:rsidR="00082F6B" w:rsidRPr="0030253A">
        <w:rPr>
          <w:rFonts w:ascii="Calibri" w:eastAsia="MS UI Gothic" w:hAnsi="Calibri" w:cs="Calibri"/>
          <w:b/>
          <w:bCs/>
          <w:sz w:val="28"/>
          <w:szCs w:val="28"/>
        </w:rPr>
        <w:t>PUBLIC COMPANY LIMITED AND ITS SUBSIDIARIES</w:t>
      </w:r>
    </w:p>
    <w:bookmarkEnd w:id="0"/>
    <w:p w14:paraId="41C8F396" w14:textId="77777777" w:rsidR="00082F6B" w:rsidRPr="00902FAE" w:rsidRDefault="00082F6B" w:rsidP="00082F6B">
      <w:pPr>
        <w:spacing w:after="200"/>
        <w:rPr>
          <w:rFonts w:ascii="Calibri" w:eastAsia="MS UI Gothic" w:hAnsi="Calibri" w:cs="Calibri"/>
          <w:b/>
          <w:bCs/>
          <w:sz w:val="32"/>
          <w:szCs w:val="32"/>
        </w:rPr>
      </w:pPr>
    </w:p>
    <w:p w14:paraId="6044A84C" w14:textId="77777777" w:rsidR="00082F6B" w:rsidRPr="002E0AD0" w:rsidRDefault="00082F6B" w:rsidP="00082F6B">
      <w:pPr>
        <w:spacing w:after="200"/>
        <w:rPr>
          <w:rFonts w:ascii="Calibri" w:eastAsia="MS UI Gothic" w:hAnsi="Calibri" w:cs="Calibri"/>
          <w:sz w:val="24"/>
          <w:szCs w:val="24"/>
        </w:rPr>
      </w:pPr>
      <w:r w:rsidRPr="002E0AD0">
        <w:rPr>
          <w:rFonts w:ascii="Calibri" w:eastAsia="MS UI Gothic" w:hAnsi="Calibri" w:cs="Calibri"/>
          <w:sz w:val="24"/>
          <w:szCs w:val="24"/>
        </w:rPr>
        <w:t>Financial Statements</w:t>
      </w:r>
    </w:p>
    <w:p w14:paraId="09F6FB17" w14:textId="6BD6E39C" w:rsidR="00082F6B" w:rsidRPr="002E0AD0" w:rsidRDefault="41885947" w:rsidP="00082F6B">
      <w:pPr>
        <w:pStyle w:val="ReportHeading1"/>
        <w:framePr w:w="0" w:hRule="auto" w:hSpace="0" w:wrap="auto" w:vAnchor="margin" w:hAnchor="text" w:xAlign="left" w:yAlign="inline"/>
        <w:spacing w:after="200" w:line="260" w:lineRule="atLeast"/>
        <w:ind w:right="-763"/>
        <w:rPr>
          <w:rFonts w:ascii="Calibri" w:eastAsia="MS UI Gothic" w:hAnsi="Calibri" w:cs="Calibri"/>
          <w:b w:val="0"/>
          <w:bCs w:val="0"/>
        </w:rPr>
      </w:pPr>
      <w:r w:rsidRPr="41885947">
        <w:rPr>
          <w:rFonts w:ascii="Calibri" w:eastAsia="MS UI Gothic" w:hAnsi="Calibri" w:cs="Calibri"/>
          <w:b w:val="0"/>
          <w:bCs w:val="0"/>
        </w:rPr>
        <w:t>For the Year Ended December 31, 202</w:t>
      </w:r>
      <w:r w:rsidR="00C36ABD">
        <w:rPr>
          <w:rFonts w:ascii="Calibri" w:eastAsia="MS UI Gothic" w:hAnsi="Calibri" w:cs="Calibri"/>
          <w:b w:val="0"/>
          <w:bCs w:val="0"/>
        </w:rPr>
        <w:t>5</w:t>
      </w:r>
    </w:p>
    <w:p w14:paraId="7B73BF62" w14:textId="007EC4AC" w:rsidR="00082F6B" w:rsidRPr="002E0AD0" w:rsidRDefault="00082F6B" w:rsidP="00082F6B">
      <w:pPr>
        <w:pStyle w:val="ReportHeading1"/>
        <w:framePr w:w="0" w:hRule="auto" w:hSpace="0" w:wrap="auto" w:vAnchor="margin" w:hAnchor="text" w:xAlign="left" w:yAlign="inline"/>
        <w:spacing w:after="200" w:line="260" w:lineRule="atLeast"/>
        <w:ind w:right="-763"/>
        <w:rPr>
          <w:rFonts w:ascii="Calibri" w:eastAsia="MS UI Gothic" w:hAnsi="Calibri" w:cs="Calibri"/>
          <w:b w:val="0"/>
          <w:bCs w:val="0"/>
        </w:rPr>
      </w:pPr>
      <w:r w:rsidRPr="002E0AD0">
        <w:rPr>
          <w:rFonts w:ascii="Calibri" w:eastAsia="MS UI Gothic" w:hAnsi="Calibri" w:cs="Calibri"/>
          <w:b w:val="0"/>
          <w:bCs w:val="0"/>
        </w:rPr>
        <w:t>and Independent Auditor</w:t>
      </w:r>
      <w:r w:rsidR="00ED1B10">
        <w:rPr>
          <w:rFonts w:ascii="Calibri" w:eastAsia="MS UI Gothic" w:hAnsi="Calibri" w:cs="Calibri"/>
          <w:b w:val="0"/>
          <w:bCs w:val="0"/>
        </w:rPr>
        <w:t>’s</w:t>
      </w:r>
      <w:r w:rsidR="00102170">
        <w:rPr>
          <w:rFonts w:ascii="Calibri" w:eastAsia="MS UI Gothic" w:hAnsi="Calibri" w:cs="Calibri"/>
          <w:b w:val="0"/>
          <w:bCs w:val="0"/>
        </w:rPr>
        <w:t xml:space="preserve"> Report</w:t>
      </w:r>
    </w:p>
    <w:p w14:paraId="72A3D3EC" w14:textId="77777777" w:rsidR="00082F6B" w:rsidRPr="00902FAE" w:rsidRDefault="00082F6B" w:rsidP="00082F6B">
      <w:pPr>
        <w:spacing w:after="200"/>
        <w:jc w:val="center"/>
        <w:rPr>
          <w:rFonts w:ascii="Calibri" w:eastAsia="MS UI Gothic" w:hAnsi="Calibri" w:cs="Calibri"/>
          <w:b/>
          <w:bCs/>
          <w:sz w:val="28"/>
          <w:szCs w:val="28"/>
        </w:rPr>
      </w:pPr>
    </w:p>
    <w:p w14:paraId="0D0B940D" w14:textId="77777777" w:rsidR="00082F6B" w:rsidRPr="00902FAE" w:rsidRDefault="00082F6B" w:rsidP="00082F6B">
      <w:pPr>
        <w:spacing w:after="200"/>
        <w:jc w:val="center"/>
        <w:rPr>
          <w:rFonts w:ascii="Calibri" w:eastAsia="MS UI Gothic" w:hAnsi="Calibri" w:cs="Calibri"/>
          <w:b/>
          <w:bCs/>
          <w:sz w:val="28"/>
          <w:szCs w:val="28"/>
        </w:rPr>
      </w:pPr>
    </w:p>
    <w:p w14:paraId="0E27B00A" w14:textId="77777777" w:rsidR="00082F6B" w:rsidRPr="00902FAE" w:rsidRDefault="00082F6B" w:rsidP="00082F6B">
      <w:pPr>
        <w:spacing w:after="200"/>
        <w:jc w:val="center"/>
        <w:rPr>
          <w:rFonts w:ascii="Calibri" w:eastAsia="MS UI Gothic" w:hAnsi="Calibri" w:cs="Calibri"/>
          <w:b/>
          <w:bCs/>
          <w:sz w:val="28"/>
          <w:szCs w:val="28"/>
        </w:rPr>
      </w:pPr>
    </w:p>
    <w:p w14:paraId="60061E4C" w14:textId="77777777" w:rsidR="00082F6B" w:rsidRPr="00902FAE" w:rsidRDefault="00082F6B" w:rsidP="00082F6B">
      <w:pPr>
        <w:spacing w:after="200"/>
        <w:jc w:val="center"/>
        <w:rPr>
          <w:rFonts w:ascii="Calibri" w:eastAsia="MS UI Gothic" w:hAnsi="Calibri" w:cs="Calibri"/>
          <w:b/>
          <w:bCs/>
          <w:sz w:val="28"/>
          <w:szCs w:val="28"/>
        </w:rPr>
      </w:pPr>
    </w:p>
    <w:p w14:paraId="44EAFD9C" w14:textId="77777777" w:rsidR="00082F6B" w:rsidRPr="00902FAE" w:rsidRDefault="00082F6B" w:rsidP="00082F6B">
      <w:pPr>
        <w:spacing w:after="200"/>
        <w:jc w:val="center"/>
        <w:rPr>
          <w:rFonts w:ascii="Calibri" w:eastAsia="MS UI Gothic" w:hAnsi="Calibri" w:cs="Calibri"/>
          <w:b/>
          <w:bCs/>
          <w:sz w:val="28"/>
          <w:szCs w:val="28"/>
        </w:rPr>
      </w:pPr>
    </w:p>
    <w:p w14:paraId="4B94D5A5" w14:textId="77777777" w:rsidR="00082F6B" w:rsidRPr="00902FAE" w:rsidRDefault="00082F6B" w:rsidP="00082F6B">
      <w:pPr>
        <w:spacing w:after="200"/>
        <w:jc w:val="center"/>
        <w:rPr>
          <w:rFonts w:ascii="Calibri" w:eastAsia="MS UI Gothic" w:hAnsi="Calibri" w:cs="Calibri"/>
          <w:b/>
          <w:bCs/>
          <w:sz w:val="28"/>
          <w:szCs w:val="28"/>
        </w:rPr>
      </w:pPr>
    </w:p>
    <w:p w14:paraId="3DEEC669" w14:textId="77777777" w:rsidR="00082F6B" w:rsidRPr="00902FAE" w:rsidRDefault="00082F6B" w:rsidP="00082F6B">
      <w:pPr>
        <w:spacing w:after="200"/>
        <w:jc w:val="center"/>
        <w:rPr>
          <w:rFonts w:ascii="Calibri" w:eastAsia="MS UI Gothic" w:hAnsi="Calibri" w:cs="Calibri"/>
          <w:b/>
          <w:bCs/>
          <w:sz w:val="28"/>
          <w:szCs w:val="28"/>
        </w:rPr>
      </w:pPr>
    </w:p>
    <w:p w14:paraId="3656B9AB" w14:textId="77777777" w:rsidR="00082F6B" w:rsidRPr="00902FAE" w:rsidRDefault="00082F6B" w:rsidP="00082F6B">
      <w:pPr>
        <w:spacing w:after="200"/>
        <w:rPr>
          <w:rFonts w:ascii="Calibri" w:eastAsia="MS UI Gothic" w:hAnsi="Calibri" w:cs="Calibri"/>
          <w:b/>
          <w:bCs/>
          <w:sz w:val="28"/>
          <w:szCs w:val="28"/>
        </w:rPr>
      </w:pPr>
    </w:p>
    <w:p w14:paraId="45FB0818" w14:textId="77777777" w:rsidR="00082F6B" w:rsidRPr="00902FAE" w:rsidRDefault="00082F6B" w:rsidP="00082F6B">
      <w:pPr>
        <w:spacing w:after="200"/>
        <w:rPr>
          <w:rFonts w:ascii="Calibri" w:eastAsia="MS UI Gothic" w:hAnsi="Calibri" w:cs="Calibri"/>
          <w:b/>
          <w:bCs/>
          <w:sz w:val="28"/>
          <w:szCs w:val="28"/>
        </w:rPr>
      </w:pPr>
    </w:p>
    <w:p w14:paraId="049F31CB" w14:textId="77777777" w:rsidR="00082F6B" w:rsidRPr="00902FAE" w:rsidRDefault="00082F6B" w:rsidP="00082F6B">
      <w:pPr>
        <w:spacing w:after="200"/>
        <w:rPr>
          <w:rFonts w:ascii="Calibri" w:eastAsia="MS UI Gothic" w:hAnsi="Calibri" w:cs="Calibri"/>
          <w:b/>
          <w:bCs/>
          <w:sz w:val="28"/>
          <w:szCs w:val="28"/>
        </w:rPr>
      </w:pPr>
    </w:p>
    <w:p w14:paraId="53128261" w14:textId="77777777" w:rsidR="00082F6B" w:rsidRPr="00902FAE" w:rsidRDefault="00082F6B" w:rsidP="00082F6B">
      <w:pPr>
        <w:spacing w:after="200"/>
        <w:rPr>
          <w:rFonts w:ascii="Calibri" w:eastAsia="MS UI Gothic" w:hAnsi="Calibri" w:cs="Calibri"/>
          <w:b/>
          <w:bCs/>
          <w:sz w:val="28"/>
          <w:szCs w:val="28"/>
        </w:rPr>
      </w:pPr>
    </w:p>
    <w:p w14:paraId="62486C05" w14:textId="77777777" w:rsidR="00082F6B" w:rsidRPr="00902FAE" w:rsidRDefault="00082F6B" w:rsidP="00082F6B">
      <w:pPr>
        <w:spacing w:after="200"/>
        <w:rPr>
          <w:rFonts w:ascii="Calibri" w:eastAsia="MS UI Gothic" w:hAnsi="Calibri" w:cs="Calibri"/>
          <w:b/>
          <w:bCs/>
          <w:sz w:val="28"/>
          <w:szCs w:val="28"/>
        </w:rPr>
      </w:pPr>
    </w:p>
    <w:p w14:paraId="4101652C" w14:textId="77777777" w:rsidR="00082F6B" w:rsidRPr="00902FAE" w:rsidRDefault="00082F6B" w:rsidP="00082F6B">
      <w:pPr>
        <w:spacing w:after="200"/>
        <w:rPr>
          <w:rFonts w:ascii="Calibri" w:eastAsia="MS UI Gothic" w:hAnsi="Calibri" w:cs="Calibri"/>
          <w:b/>
          <w:bCs/>
          <w:sz w:val="28"/>
          <w:szCs w:val="28"/>
        </w:rPr>
      </w:pPr>
    </w:p>
    <w:p w14:paraId="4B99056E" w14:textId="77777777" w:rsidR="00082F6B" w:rsidRPr="00902FAE" w:rsidRDefault="00082F6B" w:rsidP="00082F6B">
      <w:pPr>
        <w:spacing w:after="200"/>
        <w:rPr>
          <w:rFonts w:ascii="Calibri" w:eastAsia="MS UI Gothic" w:hAnsi="Calibri" w:cs="Calibri"/>
          <w:b/>
          <w:bCs/>
          <w:sz w:val="28"/>
          <w:szCs w:val="28"/>
        </w:rPr>
      </w:pPr>
    </w:p>
    <w:p w14:paraId="1299C43A" w14:textId="77777777" w:rsidR="00082F6B" w:rsidRPr="00902FAE" w:rsidRDefault="00082F6B" w:rsidP="00082F6B">
      <w:pPr>
        <w:spacing w:after="200"/>
        <w:rPr>
          <w:rFonts w:ascii="Calibri" w:eastAsia="MS UI Gothic" w:hAnsi="Calibri" w:cs="Calibri"/>
          <w:b/>
          <w:bCs/>
          <w:sz w:val="28"/>
          <w:szCs w:val="28"/>
        </w:rPr>
      </w:pPr>
    </w:p>
    <w:p w14:paraId="63D68BA7" w14:textId="77777777" w:rsidR="00082F6B" w:rsidRPr="00B748CC" w:rsidRDefault="00082F6B" w:rsidP="00082F6B">
      <w:pPr>
        <w:spacing w:after="200"/>
        <w:rPr>
          <w:rFonts w:ascii="Calibri" w:eastAsia="MS UI Gothic" w:hAnsi="Calibri" w:cs="Calibri"/>
          <w:b/>
          <w:bCs/>
          <w:i/>
          <w:iCs/>
          <w:sz w:val="28"/>
          <w:szCs w:val="28"/>
        </w:rPr>
      </w:pPr>
      <w:r w:rsidRPr="00B748CC">
        <w:rPr>
          <w:rFonts w:ascii="Calibri" w:eastAsia="MS UI Gothic" w:hAnsi="Calibri" w:cs="Calibri"/>
          <w:b/>
          <w:bCs/>
          <w:i/>
          <w:iCs/>
          <w:sz w:val="28"/>
          <w:szCs w:val="28"/>
        </w:rPr>
        <w:t>BPR AUDIT AND ADVISORY CO., LTD.</w:t>
      </w:r>
    </w:p>
    <w:p w14:paraId="39BA6FD9" w14:textId="77777777" w:rsidR="00082F6B" w:rsidRPr="00902FAE" w:rsidRDefault="00082F6B" w:rsidP="00082F6B">
      <w:pPr>
        <w:spacing w:after="200"/>
        <w:rPr>
          <w:rFonts w:ascii="Calibri" w:eastAsia="MS UI Gothic" w:hAnsi="Calibri" w:cs="Calibri"/>
          <w:b/>
          <w:bCs/>
          <w:i/>
          <w:iCs/>
          <w:sz w:val="28"/>
          <w:szCs w:val="28"/>
        </w:rPr>
      </w:pPr>
      <w:r w:rsidRPr="00902FAE">
        <w:rPr>
          <w:rFonts w:ascii="Calibri" w:eastAsia="MS UI Gothic" w:hAnsi="Calibri" w:cs="Calibri"/>
          <w:b/>
          <w:bCs/>
          <w:i/>
          <w:iCs/>
          <w:sz w:val="28"/>
          <w:szCs w:val="28"/>
        </w:rPr>
        <w:t>Independent Auditors</w:t>
      </w:r>
    </w:p>
    <w:p w14:paraId="4DDBEF00" w14:textId="77777777" w:rsidR="00E0668F" w:rsidRPr="00902FAE" w:rsidRDefault="00E0668F" w:rsidP="005E5A05">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29"/>
        <w:jc w:val="both"/>
        <w:rPr>
          <w:rFonts w:ascii="Calibri" w:eastAsia="MS UI Gothic" w:hAnsi="Calibri" w:cs="Calibri"/>
          <w:b/>
          <w:bCs/>
          <w:sz w:val="22"/>
          <w:szCs w:val="22"/>
        </w:rPr>
        <w:sectPr w:rsidR="00E0668F" w:rsidRPr="00902FAE" w:rsidSect="00D824B4">
          <w:footerReference w:type="default" r:id="rId8"/>
          <w:footerReference w:type="first" r:id="rId9"/>
          <w:pgSz w:w="11909" w:h="16834" w:code="9"/>
          <w:pgMar w:top="1440" w:right="1151" w:bottom="578" w:left="1440" w:header="476" w:footer="374" w:gutter="0"/>
          <w:pgNumType w:start="2"/>
          <w:cols w:space="720"/>
          <w:titlePg/>
          <w:docGrid w:linePitch="408"/>
        </w:sectPr>
      </w:pPr>
    </w:p>
    <w:p w14:paraId="3461D779" w14:textId="77777777" w:rsidR="009046BE" w:rsidRPr="00902FAE" w:rsidRDefault="009046BE" w:rsidP="005E5A05">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29"/>
        <w:jc w:val="both"/>
        <w:rPr>
          <w:rFonts w:ascii="Calibri" w:eastAsia="MS UI Gothic" w:hAnsi="Calibri" w:cs="Calibri"/>
          <w:b/>
          <w:bCs/>
          <w:sz w:val="22"/>
          <w:szCs w:val="22"/>
        </w:rPr>
      </w:pPr>
    </w:p>
    <w:p w14:paraId="3CF2D8B6" w14:textId="77777777" w:rsidR="00E0668F" w:rsidRPr="00902FAE" w:rsidRDefault="00E0668F" w:rsidP="005E5A05">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29"/>
        <w:jc w:val="both"/>
        <w:rPr>
          <w:rFonts w:ascii="Calibri" w:eastAsia="MS UI Gothic" w:hAnsi="Calibri" w:cs="Calibri"/>
          <w:b/>
          <w:bCs/>
          <w:sz w:val="22"/>
          <w:szCs w:val="22"/>
        </w:rPr>
      </w:pPr>
    </w:p>
    <w:p w14:paraId="0FB78278" w14:textId="77777777" w:rsidR="00E0668F" w:rsidRPr="00902FAE" w:rsidRDefault="00E0668F" w:rsidP="005E5A05">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29"/>
        <w:jc w:val="both"/>
        <w:rPr>
          <w:rFonts w:ascii="Calibri" w:eastAsia="MS UI Gothic" w:hAnsi="Calibri" w:cs="Calibri"/>
          <w:b/>
          <w:bCs/>
          <w:sz w:val="22"/>
          <w:szCs w:val="22"/>
        </w:rPr>
      </w:pPr>
    </w:p>
    <w:p w14:paraId="1FC39945" w14:textId="77777777" w:rsidR="00E0668F" w:rsidRPr="00902FAE" w:rsidRDefault="00E0668F" w:rsidP="005E5A05">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29"/>
        <w:jc w:val="both"/>
        <w:rPr>
          <w:rFonts w:ascii="Calibri" w:eastAsia="MS UI Gothic" w:hAnsi="Calibri" w:cs="Calibri"/>
          <w:b/>
          <w:bCs/>
          <w:sz w:val="22"/>
          <w:szCs w:val="22"/>
        </w:rPr>
      </w:pPr>
    </w:p>
    <w:p w14:paraId="0562CB0E" w14:textId="77777777" w:rsidR="00E0668F" w:rsidRPr="00902FAE" w:rsidRDefault="00E0668F" w:rsidP="005E5A05">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29"/>
        <w:jc w:val="both"/>
        <w:rPr>
          <w:rFonts w:ascii="Calibri" w:eastAsia="MS UI Gothic" w:hAnsi="Calibri" w:cs="Calibri"/>
          <w:b/>
          <w:bCs/>
          <w:sz w:val="22"/>
          <w:szCs w:val="22"/>
        </w:rPr>
      </w:pPr>
    </w:p>
    <w:p w14:paraId="34CE0A41" w14:textId="77777777" w:rsidR="00E0668F" w:rsidRPr="00902FAE" w:rsidRDefault="00E0668F" w:rsidP="005E5A05">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29"/>
        <w:jc w:val="both"/>
        <w:rPr>
          <w:rFonts w:ascii="Calibri" w:eastAsia="MS UI Gothic" w:hAnsi="Calibri" w:cs="Calibri"/>
          <w:b/>
          <w:bCs/>
          <w:sz w:val="22"/>
          <w:szCs w:val="22"/>
        </w:rPr>
      </w:pPr>
    </w:p>
    <w:p w14:paraId="1F62B359" w14:textId="77777777" w:rsidR="003650B0" w:rsidRPr="002E0AD0" w:rsidRDefault="00326E5F" w:rsidP="005917C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29"/>
        <w:rPr>
          <w:rFonts w:ascii="Calibri" w:eastAsia="MS UI Gothic" w:hAnsi="Calibri" w:cs="Calibri"/>
          <w:b/>
          <w:bCs/>
          <w:sz w:val="28"/>
          <w:szCs w:val="28"/>
        </w:rPr>
      </w:pPr>
      <w:r w:rsidRPr="002E0AD0">
        <w:rPr>
          <w:rFonts w:ascii="Calibri" w:eastAsia="MS UI Gothic" w:hAnsi="Calibri" w:cs="Calibri"/>
          <w:b/>
          <w:bCs/>
          <w:sz w:val="28"/>
          <w:szCs w:val="28"/>
        </w:rPr>
        <w:t>I</w:t>
      </w:r>
      <w:r w:rsidR="00B1410F" w:rsidRPr="002E0AD0">
        <w:rPr>
          <w:rFonts w:ascii="Calibri" w:eastAsia="MS UI Gothic" w:hAnsi="Calibri" w:cs="Calibri"/>
          <w:b/>
          <w:bCs/>
          <w:sz w:val="28"/>
          <w:szCs w:val="28"/>
        </w:rPr>
        <w:t>ndependent Auditor’s Report</w:t>
      </w:r>
    </w:p>
    <w:p w14:paraId="62EBF3C5" w14:textId="77777777" w:rsidR="00DC6893" w:rsidRPr="00902FAE" w:rsidRDefault="00DC6893" w:rsidP="005917C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29"/>
        <w:rPr>
          <w:rFonts w:ascii="Calibri" w:eastAsia="MS UI Gothic" w:hAnsi="Calibri" w:cs="Calibri"/>
          <w:b/>
          <w:bCs/>
          <w:sz w:val="16"/>
          <w:szCs w:val="16"/>
        </w:rPr>
      </w:pPr>
    </w:p>
    <w:p w14:paraId="1EC09F69" w14:textId="77777777" w:rsidR="00AD2C71" w:rsidRPr="00E96995" w:rsidRDefault="00E17920" w:rsidP="00B1410F">
      <w:pPr>
        <w:pStyle w:val="Heading5"/>
        <w:spacing w:line="240" w:lineRule="auto"/>
        <w:rPr>
          <w:rFonts w:ascii="Calibri" w:eastAsia="MS UI Gothic" w:hAnsi="Calibri" w:cs="Calibri"/>
          <w:spacing w:val="4"/>
          <w:sz w:val="21"/>
          <w:szCs w:val="21"/>
          <w:lang w:val="en-US"/>
        </w:rPr>
      </w:pPr>
      <w:r w:rsidRPr="00E96995">
        <w:rPr>
          <w:rFonts w:ascii="Calibri" w:eastAsia="MS UI Gothic" w:hAnsi="Calibri" w:cs="Calibri"/>
          <w:sz w:val="21"/>
          <w:szCs w:val="21"/>
        </w:rPr>
        <w:t xml:space="preserve">To </w:t>
      </w:r>
      <w:r w:rsidR="003650B0" w:rsidRPr="00E96995">
        <w:rPr>
          <w:rFonts w:ascii="Calibri" w:eastAsia="MS UI Gothic" w:hAnsi="Calibri" w:cs="Calibri"/>
          <w:sz w:val="21"/>
          <w:szCs w:val="21"/>
        </w:rPr>
        <w:t>the</w:t>
      </w:r>
      <w:r w:rsidR="00F75C2E" w:rsidRPr="00E96995">
        <w:rPr>
          <w:rFonts w:ascii="Calibri" w:eastAsia="MS UI Gothic" w:hAnsi="Calibri" w:cs="Calibri"/>
          <w:sz w:val="21"/>
          <w:szCs w:val="21"/>
          <w:lang w:val="en-US"/>
        </w:rPr>
        <w:t xml:space="preserve"> Shareholders and </w:t>
      </w:r>
      <w:r w:rsidR="00326E5F" w:rsidRPr="00E96995">
        <w:rPr>
          <w:rFonts w:ascii="Calibri" w:eastAsia="MS UI Gothic" w:hAnsi="Calibri" w:cs="Calibri"/>
          <w:sz w:val="21"/>
          <w:szCs w:val="21"/>
          <w:lang w:val="en-US"/>
        </w:rPr>
        <w:t xml:space="preserve">the </w:t>
      </w:r>
      <w:r w:rsidR="003650B0" w:rsidRPr="00E96995">
        <w:rPr>
          <w:rFonts w:ascii="Calibri" w:eastAsia="MS UI Gothic" w:hAnsi="Calibri" w:cs="Calibri"/>
          <w:sz w:val="21"/>
          <w:szCs w:val="21"/>
        </w:rPr>
        <w:t>Board of Directors</w:t>
      </w:r>
      <w:r w:rsidR="003650B0" w:rsidRPr="00E96995">
        <w:rPr>
          <w:rFonts w:ascii="Calibri" w:eastAsia="MS UI Gothic" w:hAnsi="Calibri" w:cs="Calibri"/>
          <w:spacing w:val="4"/>
          <w:sz w:val="21"/>
          <w:szCs w:val="21"/>
        </w:rPr>
        <w:t xml:space="preserve"> </w:t>
      </w:r>
      <w:r w:rsidR="00AD2C71" w:rsidRPr="00E96995">
        <w:rPr>
          <w:rFonts w:ascii="Calibri" w:eastAsia="MS UI Gothic" w:hAnsi="Calibri" w:cs="Calibri"/>
          <w:spacing w:val="4"/>
          <w:sz w:val="21"/>
          <w:szCs w:val="21"/>
        </w:rPr>
        <w:t xml:space="preserve">of </w:t>
      </w:r>
      <w:r w:rsidR="00680978" w:rsidRPr="00E96995">
        <w:rPr>
          <w:rFonts w:ascii="Calibri" w:eastAsia="MS UI Gothic" w:hAnsi="Calibri" w:cs="Calibri"/>
          <w:spacing w:val="4"/>
          <w:sz w:val="21"/>
          <w:szCs w:val="21"/>
          <w:lang w:val="en-US"/>
        </w:rPr>
        <w:t xml:space="preserve"> General Environment</w:t>
      </w:r>
      <w:r w:rsidR="00481FF5" w:rsidRPr="00E96995">
        <w:rPr>
          <w:rFonts w:ascii="Calibri" w:eastAsia="MS UI Gothic" w:hAnsi="Calibri" w:cs="Calibri"/>
          <w:spacing w:val="4"/>
          <w:sz w:val="21"/>
          <w:szCs w:val="21"/>
          <w:lang w:val="en-US"/>
        </w:rPr>
        <w:t>al</w:t>
      </w:r>
      <w:r w:rsidR="00680978" w:rsidRPr="00E96995">
        <w:rPr>
          <w:rFonts w:ascii="Calibri" w:eastAsia="MS UI Gothic" w:hAnsi="Calibri" w:cs="Calibri"/>
          <w:spacing w:val="4"/>
          <w:sz w:val="21"/>
          <w:szCs w:val="21"/>
          <w:lang w:val="en-US"/>
        </w:rPr>
        <w:t xml:space="preserve"> Conservation</w:t>
      </w:r>
      <w:r w:rsidR="00AD2C71" w:rsidRPr="00E96995">
        <w:rPr>
          <w:rFonts w:ascii="Calibri" w:eastAsia="MS UI Gothic" w:hAnsi="Calibri" w:cs="Calibri"/>
          <w:spacing w:val="4"/>
          <w:sz w:val="21"/>
          <w:szCs w:val="21"/>
        </w:rPr>
        <w:t xml:space="preserve"> Public Company Limited</w:t>
      </w:r>
      <w:r w:rsidR="00B95058" w:rsidRPr="00E96995">
        <w:rPr>
          <w:rFonts w:ascii="Calibri" w:eastAsia="MS UI Gothic" w:hAnsi="Calibri" w:cs="Calibri"/>
          <w:spacing w:val="4"/>
          <w:sz w:val="21"/>
          <w:szCs w:val="21"/>
        </w:rPr>
        <w:t xml:space="preserve"> </w:t>
      </w:r>
    </w:p>
    <w:p w14:paraId="6D98A12B" w14:textId="77777777" w:rsidR="00006898" w:rsidRPr="00902FAE" w:rsidRDefault="00006898" w:rsidP="00E95954">
      <w:pPr>
        <w:spacing w:line="240" w:lineRule="auto"/>
        <w:jc w:val="thaiDistribute"/>
        <w:rPr>
          <w:rFonts w:ascii="Calibri" w:eastAsia="MS UI Gothic" w:hAnsi="Calibri" w:cs="Calibri"/>
          <w:sz w:val="22"/>
          <w:szCs w:val="22"/>
          <w:lang w:eastAsia="x-none"/>
        </w:rPr>
      </w:pPr>
    </w:p>
    <w:p w14:paraId="02B20025" w14:textId="77777777" w:rsidR="00006898" w:rsidRPr="005E3740" w:rsidRDefault="00006898" w:rsidP="00E95954">
      <w:pPr>
        <w:keepNext/>
        <w:keepLines/>
        <w:spacing w:line="240" w:lineRule="auto"/>
        <w:jc w:val="thaiDistribute"/>
        <w:outlineLvl w:val="2"/>
        <w:rPr>
          <w:rFonts w:ascii="Calibri" w:eastAsia="MS UI Gothic" w:hAnsi="Calibri" w:cs="Calibri"/>
          <w:b/>
          <w:bCs/>
          <w:sz w:val="21"/>
          <w:szCs w:val="21"/>
        </w:rPr>
      </w:pPr>
      <w:r w:rsidRPr="005E3740">
        <w:rPr>
          <w:rFonts w:ascii="Calibri" w:eastAsia="MS UI Gothic" w:hAnsi="Calibri" w:cs="Calibri"/>
          <w:b/>
          <w:bCs/>
          <w:sz w:val="21"/>
          <w:szCs w:val="21"/>
        </w:rPr>
        <w:t>O</w:t>
      </w:r>
      <w:r w:rsidR="00BC5964" w:rsidRPr="005E3740">
        <w:rPr>
          <w:rFonts w:ascii="Calibri" w:eastAsia="MS UI Gothic" w:hAnsi="Calibri" w:cs="Calibri"/>
          <w:b/>
          <w:bCs/>
          <w:sz w:val="21"/>
          <w:szCs w:val="21"/>
        </w:rPr>
        <w:t>PINION</w:t>
      </w:r>
    </w:p>
    <w:p w14:paraId="2946DB82" w14:textId="77777777" w:rsidR="003650B0" w:rsidRPr="00902FAE" w:rsidRDefault="003650B0" w:rsidP="00E95954">
      <w:pPr>
        <w:pStyle w:val="Heading5"/>
        <w:spacing w:line="240" w:lineRule="auto"/>
        <w:jc w:val="thaiDistribute"/>
        <w:rPr>
          <w:rFonts w:ascii="Calibri" w:eastAsia="MS UI Gothic" w:hAnsi="Calibri" w:cs="Calibri"/>
          <w:b w:val="0"/>
          <w:bCs w:val="0"/>
          <w:spacing w:val="-2"/>
          <w:sz w:val="16"/>
          <w:szCs w:val="16"/>
          <w:lang w:val="en-US"/>
        </w:rPr>
      </w:pPr>
    </w:p>
    <w:p w14:paraId="0FFDC3CD" w14:textId="6336D4B7" w:rsidR="00A72595" w:rsidRPr="002E0AD0" w:rsidRDefault="00A72595" w:rsidP="00E95954">
      <w:pPr>
        <w:spacing w:line="240" w:lineRule="auto"/>
        <w:jc w:val="thaiDistribute"/>
        <w:rPr>
          <w:rFonts w:ascii="Calibri" w:eastAsia="MS UI Gothic" w:hAnsi="Calibri" w:cs="Calibri"/>
          <w:sz w:val="20"/>
          <w:szCs w:val="20"/>
          <w:lang w:bidi="ar-SA"/>
        </w:rPr>
      </w:pPr>
      <w:r w:rsidRPr="002E0AD0">
        <w:rPr>
          <w:rFonts w:ascii="Calibri" w:eastAsia="MS UI Gothic" w:hAnsi="Calibri" w:cs="Calibri"/>
          <w:sz w:val="20"/>
          <w:szCs w:val="20"/>
          <w:lang w:bidi="ar-SA"/>
        </w:rPr>
        <w:t xml:space="preserve">I have audited the accompanying consolidated financial statements of </w:t>
      </w:r>
      <w:r w:rsidR="00680978" w:rsidRPr="002E0AD0">
        <w:rPr>
          <w:rFonts w:ascii="Calibri" w:eastAsia="MS UI Gothic" w:hAnsi="Calibri" w:cs="Calibri"/>
          <w:spacing w:val="4"/>
          <w:sz w:val="20"/>
          <w:szCs w:val="20"/>
        </w:rPr>
        <w:t>General Environment</w:t>
      </w:r>
      <w:r w:rsidR="00481FF5" w:rsidRPr="002E0AD0">
        <w:rPr>
          <w:rFonts w:ascii="Calibri" w:eastAsia="MS UI Gothic" w:hAnsi="Calibri" w:cs="Calibri"/>
          <w:spacing w:val="4"/>
          <w:sz w:val="20"/>
          <w:szCs w:val="20"/>
        </w:rPr>
        <w:t>al</w:t>
      </w:r>
      <w:r w:rsidR="00680978" w:rsidRPr="002E0AD0">
        <w:rPr>
          <w:rFonts w:ascii="Calibri" w:eastAsia="MS UI Gothic" w:hAnsi="Calibri" w:cs="Calibri"/>
          <w:spacing w:val="4"/>
          <w:sz w:val="20"/>
          <w:szCs w:val="20"/>
        </w:rPr>
        <w:t xml:space="preserve"> Conservation</w:t>
      </w:r>
      <w:r w:rsidR="00680978" w:rsidRPr="002E0AD0">
        <w:rPr>
          <w:rFonts w:ascii="Calibri" w:eastAsia="MS UI Gothic" w:hAnsi="Calibri" w:cs="Calibri"/>
          <w:b/>
          <w:bCs/>
          <w:spacing w:val="4"/>
          <w:sz w:val="20"/>
          <w:szCs w:val="20"/>
        </w:rPr>
        <w:t xml:space="preserve"> </w:t>
      </w:r>
      <w:r w:rsidRPr="002E0AD0">
        <w:rPr>
          <w:rFonts w:ascii="Calibri" w:eastAsia="MS UI Gothic" w:hAnsi="Calibri" w:cs="Calibri"/>
          <w:sz w:val="20"/>
          <w:szCs w:val="20"/>
          <w:lang w:bidi="ar-SA"/>
        </w:rPr>
        <w:t xml:space="preserve">Public Company </w:t>
      </w:r>
      <w:r w:rsidRPr="002E0AD0">
        <w:rPr>
          <w:rFonts w:ascii="Calibri" w:eastAsia="MS UI Gothic" w:hAnsi="Calibri" w:cs="Calibri"/>
          <w:spacing w:val="-4"/>
          <w:sz w:val="20"/>
          <w:szCs w:val="20"/>
          <w:lang w:bidi="ar-SA"/>
        </w:rPr>
        <w:t>Limited and its subsidiaries</w:t>
      </w:r>
      <w:r w:rsidR="00AA00A7" w:rsidRPr="002E0AD0">
        <w:rPr>
          <w:rFonts w:ascii="Calibri" w:eastAsia="MS UI Gothic" w:hAnsi="Calibri" w:cs="Calibri"/>
          <w:spacing w:val="-4"/>
          <w:sz w:val="20"/>
          <w:szCs w:val="20"/>
          <w:cs/>
        </w:rPr>
        <w:t xml:space="preserve"> </w:t>
      </w:r>
      <w:r w:rsidR="00E95954" w:rsidRPr="002E0AD0">
        <w:rPr>
          <w:rFonts w:ascii="Calibri" w:eastAsia="MS UI Gothic" w:hAnsi="Calibri" w:cs="Calibri"/>
          <w:spacing w:val="-4"/>
          <w:sz w:val="20"/>
          <w:szCs w:val="20"/>
        </w:rPr>
        <w:t>(“The Group</w:t>
      </w:r>
      <w:r w:rsidR="00AA00A7" w:rsidRPr="002E0AD0">
        <w:rPr>
          <w:rFonts w:ascii="Calibri" w:eastAsia="MS UI Gothic" w:hAnsi="Calibri" w:cs="Calibri"/>
          <w:spacing w:val="-4"/>
          <w:sz w:val="20"/>
          <w:szCs w:val="20"/>
        </w:rPr>
        <w:t>”)</w:t>
      </w:r>
      <w:r w:rsidR="009B6201" w:rsidRPr="002E0AD0">
        <w:rPr>
          <w:rFonts w:ascii="Calibri" w:eastAsia="MS UI Gothic" w:hAnsi="Calibri" w:cs="Calibri"/>
          <w:spacing w:val="-4"/>
          <w:sz w:val="20"/>
          <w:szCs w:val="20"/>
          <w:lang w:bidi="ar-SA"/>
        </w:rPr>
        <w:t xml:space="preserve">, which </w:t>
      </w:r>
      <w:r w:rsidRPr="002E0AD0">
        <w:rPr>
          <w:rFonts w:ascii="Calibri" w:eastAsia="MS UI Gothic" w:hAnsi="Calibri" w:cs="Calibri"/>
          <w:spacing w:val="-4"/>
          <w:sz w:val="20"/>
          <w:szCs w:val="20"/>
          <w:lang w:bidi="ar-SA"/>
        </w:rPr>
        <w:t>comprise</w:t>
      </w:r>
      <w:r w:rsidR="00E95954" w:rsidRPr="002E0AD0">
        <w:rPr>
          <w:rFonts w:ascii="Calibri" w:eastAsia="MS UI Gothic" w:hAnsi="Calibri" w:cs="Calibri"/>
          <w:spacing w:val="-4"/>
          <w:sz w:val="20"/>
          <w:szCs w:val="20"/>
          <w:lang w:bidi="ar-SA"/>
        </w:rPr>
        <w:t xml:space="preserve"> </w:t>
      </w:r>
      <w:r w:rsidRPr="002E0AD0">
        <w:rPr>
          <w:rFonts w:ascii="Calibri" w:eastAsia="MS UI Gothic" w:hAnsi="Calibri" w:cs="Calibri"/>
          <w:spacing w:val="-4"/>
          <w:sz w:val="20"/>
          <w:szCs w:val="20"/>
          <w:lang w:bidi="ar-SA"/>
        </w:rPr>
        <w:t>the consolidated statement of financial position as at</w:t>
      </w:r>
      <w:r w:rsidR="00706CA8" w:rsidRPr="002E0AD0">
        <w:rPr>
          <w:rFonts w:ascii="Calibri" w:eastAsia="MS UI Gothic" w:hAnsi="Calibri" w:cs="Calibri"/>
          <w:spacing w:val="-4"/>
          <w:sz w:val="20"/>
          <w:szCs w:val="20"/>
          <w:lang w:bidi="ar-SA"/>
        </w:rPr>
        <w:t xml:space="preserve"> </w:t>
      </w:r>
      <w:r w:rsidRPr="002E0AD0">
        <w:rPr>
          <w:rFonts w:ascii="Calibri" w:eastAsia="MS UI Gothic" w:hAnsi="Calibri" w:cs="Calibri"/>
          <w:spacing w:val="-4"/>
          <w:sz w:val="20"/>
          <w:szCs w:val="20"/>
          <w:lang w:bidi="ar-SA"/>
        </w:rPr>
        <w:t>December 31,</w:t>
      </w:r>
      <w:r w:rsidRPr="002E0AD0">
        <w:rPr>
          <w:rFonts w:ascii="Calibri" w:eastAsia="MS UI Gothic" w:hAnsi="Calibri" w:cs="Calibri"/>
          <w:sz w:val="20"/>
          <w:szCs w:val="20"/>
          <w:lang w:bidi="ar-SA"/>
        </w:rPr>
        <w:t xml:space="preserve"> </w:t>
      </w:r>
      <w:r w:rsidR="000F2B36">
        <w:rPr>
          <w:rFonts w:ascii="Calibri" w:eastAsia="MS UI Gothic" w:hAnsi="Calibri" w:cs="Calibri"/>
          <w:sz w:val="20"/>
          <w:szCs w:val="20"/>
          <w:lang w:bidi="ar-SA"/>
        </w:rPr>
        <w:t>202</w:t>
      </w:r>
      <w:r w:rsidR="00C36ABD">
        <w:rPr>
          <w:rFonts w:ascii="Calibri" w:eastAsia="MS UI Gothic" w:hAnsi="Calibri" w:cs="Calibri"/>
          <w:sz w:val="20"/>
          <w:szCs w:val="20"/>
          <w:lang w:bidi="ar-SA"/>
        </w:rPr>
        <w:t>5</w:t>
      </w:r>
      <w:r w:rsidRPr="002E0AD0">
        <w:rPr>
          <w:rFonts w:ascii="Calibri" w:eastAsia="MS UI Gothic" w:hAnsi="Calibri" w:cs="Calibri"/>
          <w:sz w:val="20"/>
          <w:szCs w:val="20"/>
          <w:lang w:bidi="ar-SA"/>
        </w:rPr>
        <w:t>, the related consolidated statements</w:t>
      </w:r>
      <w:r w:rsidR="00E95954" w:rsidRPr="002E0AD0">
        <w:rPr>
          <w:rFonts w:ascii="Calibri" w:eastAsia="MS UI Gothic" w:hAnsi="Calibri" w:cs="Calibri"/>
          <w:sz w:val="20"/>
          <w:szCs w:val="20"/>
          <w:lang w:bidi="ar-SA"/>
        </w:rPr>
        <w:t xml:space="preserve"> </w:t>
      </w:r>
      <w:r w:rsidRPr="002E0AD0">
        <w:rPr>
          <w:rFonts w:ascii="Calibri" w:eastAsia="MS UI Gothic" w:hAnsi="Calibri" w:cs="Calibri"/>
          <w:sz w:val="20"/>
          <w:szCs w:val="20"/>
          <w:lang w:bidi="ar-SA"/>
        </w:rPr>
        <w:t xml:space="preserve">of comprehensive income, changes in shareholders' equity and cash flows for the year then ended, </w:t>
      </w:r>
      <w:r w:rsidR="002E0C8B" w:rsidRPr="002E0AD0">
        <w:rPr>
          <w:rFonts w:ascii="Calibri" w:eastAsia="MS UI Gothic" w:hAnsi="Calibri" w:cs="Calibri"/>
          <w:sz w:val="20"/>
          <w:szCs w:val="20"/>
          <w:lang w:bidi="ar-SA"/>
        </w:rPr>
        <w:t xml:space="preserve">and notes to the </w:t>
      </w:r>
      <w:r w:rsidR="00F43E71">
        <w:rPr>
          <w:rFonts w:ascii="Calibri" w:eastAsia="MS UI Gothic" w:hAnsi="Calibri" w:cs="Calibri"/>
          <w:sz w:val="20"/>
          <w:szCs w:val="20"/>
          <w:lang w:bidi="ar-SA"/>
        </w:rPr>
        <w:t xml:space="preserve">consolidated </w:t>
      </w:r>
      <w:r w:rsidR="002E0C8B" w:rsidRPr="002E0AD0">
        <w:rPr>
          <w:rFonts w:ascii="Calibri" w:eastAsia="MS UI Gothic" w:hAnsi="Calibri" w:cs="Calibri"/>
          <w:sz w:val="20"/>
          <w:szCs w:val="20"/>
          <w:lang w:bidi="ar-SA"/>
        </w:rPr>
        <w:t>financial statements, including a summary of significant accounting policies</w:t>
      </w:r>
      <w:r w:rsidRPr="002E0AD0">
        <w:rPr>
          <w:rFonts w:ascii="Calibri" w:eastAsia="MS UI Gothic" w:hAnsi="Calibri" w:cs="Calibri"/>
          <w:sz w:val="20"/>
          <w:szCs w:val="20"/>
          <w:lang w:bidi="ar-SA"/>
        </w:rPr>
        <w:t xml:space="preserve">. I have also audited the separate financial statements of </w:t>
      </w:r>
      <w:r w:rsidR="00680978" w:rsidRPr="002E0AD0">
        <w:rPr>
          <w:rFonts w:ascii="Calibri" w:eastAsia="MS UI Gothic" w:hAnsi="Calibri" w:cs="Calibri"/>
          <w:spacing w:val="4"/>
          <w:sz w:val="20"/>
          <w:szCs w:val="20"/>
        </w:rPr>
        <w:t>General Environment</w:t>
      </w:r>
      <w:r w:rsidR="00481FF5" w:rsidRPr="002E0AD0">
        <w:rPr>
          <w:rFonts w:ascii="Calibri" w:eastAsia="MS UI Gothic" w:hAnsi="Calibri" w:cs="Calibri"/>
          <w:spacing w:val="4"/>
          <w:sz w:val="20"/>
          <w:szCs w:val="20"/>
        </w:rPr>
        <w:t>al</w:t>
      </w:r>
      <w:r w:rsidR="00680978" w:rsidRPr="002E0AD0">
        <w:rPr>
          <w:rFonts w:ascii="Calibri" w:eastAsia="MS UI Gothic" w:hAnsi="Calibri" w:cs="Calibri"/>
          <w:spacing w:val="4"/>
          <w:sz w:val="20"/>
          <w:szCs w:val="20"/>
        </w:rPr>
        <w:t xml:space="preserve"> Conservation</w:t>
      </w:r>
      <w:r w:rsidR="00680978" w:rsidRPr="002E0AD0">
        <w:rPr>
          <w:rFonts w:ascii="Calibri" w:eastAsia="MS UI Gothic" w:hAnsi="Calibri" w:cs="Calibri"/>
          <w:b/>
          <w:bCs/>
          <w:spacing w:val="4"/>
          <w:sz w:val="20"/>
          <w:szCs w:val="20"/>
        </w:rPr>
        <w:t xml:space="preserve"> </w:t>
      </w:r>
      <w:r w:rsidRPr="002E0AD0">
        <w:rPr>
          <w:rFonts w:ascii="Calibri" w:eastAsia="MS UI Gothic" w:hAnsi="Calibri" w:cs="Calibri"/>
          <w:sz w:val="20"/>
          <w:szCs w:val="20"/>
          <w:lang w:bidi="ar-SA"/>
        </w:rPr>
        <w:t xml:space="preserve">Public Company Limited, which </w:t>
      </w:r>
      <w:r w:rsidR="00802F2C" w:rsidRPr="002E0AD0">
        <w:rPr>
          <w:rFonts w:ascii="Calibri" w:eastAsia="MS UI Gothic" w:hAnsi="Calibri" w:cs="Calibri"/>
          <w:sz w:val="20"/>
          <w:szCs w:val="20"/>
          <w:lang w:bidi="ar-SA"/>
        </w:rPr>
        <w:t>comprise the statement</w:t>
      </w:r>
      <w:r w:rsidRPr="002E0AD0">
        <w:rPr>
          <w:rFonts w:ascii="Calibri" w:eastAsia="MS UI Gothic" w:hAnsi="Calibri" w:cs="Calibri"/>
          <w:sz w:val="20"/>
          <w:szCs w:val="20"/>
          <w:lang w:bidi="ar-SA"/>
        </w:rPr>
        <w:t xml:space="preserve"> of financial position as </w:t>
      </w:r>
      <w:proofErr w:type="gramStart"/>
      <w:r w:rsidRPr="002E0AD0">
        <w:rPr>
          <w:rFonts w:ascii="Calibri" w:eastAsia="MS UI Gothic" w:hAnsi="Calibri" w:cs="Calibri"/>
          <w:sz w:val="20"/>
          <w:szCs w:val="20"/>
          <w:lang w:bidi="ar-SA"/>
        </w:rPr>
        <w:t>at</w:t>
      </w:r>
      <w:proofErr w:type="gramEnd"/>
      <w:r w:rsidRPr="002E0AD0">
        <w:rPr>
          <w:rFonts w:ascii="Calibri" w:eastAsia="MS UI Gothic" w:hAnsi="Calibri" w:cs="Calibri"/>
          <w:sz w:val="20"/>
          <w:szCs w:val="20"/>
          <w:lang w:bidi="ar-SA"/>
        </w:rPr>
        <w:t xml:space="preserve"> December 31, </w:t>
      </w:r>
      <w:r w:rsidR="000F2B36">
        <w:rPr>
          <w:rFonts w:ascii="Calibri" w:eastAsia="MS UI Gothic" w:hAnsi="Calibri" w:cs="Calibri"/>
          <w:sz w:val="20"/>
          <w:szCs w:val="20"/>
          <w:lang w:bidi="ar-SA"/>
        </w:rPr>
        <w:t>202</w:t>
      </w:r>
      <w:r w:rsidR="00C36ABD">
        <w:rPr>
          <w:rFonts w:ascii="Calibri" w:eastAsia="MS UI Gothic" w:hAnsi="Calibri" w:cs="Calibri"/>
          <w:sz w:val="20"/>
          <w:szCs w:val="20"/>
          <w:lang w:bidi="ar-SA"/>
        </w:rPr>
        <w:t>5</w:t>
      </w:r>
      <w:r w:rsidRPr="002E0AD0">
        <w:rPr>
          <w:rFonts w:ascii="Calibri" w:eastAsia="MS UI Gothic" w:hAnsi="Calibri" w:cs="Calibri"/>
          <w:sz w:val="20"/>
          <w:szCs w:val="20"/>
          <w:lang w:bidi="ar-SA"/>
        </w:rPr>
        <w:t xml:space="preserve">, the related statements of comprehensive income, changes in shareholders' equity and cash flows for the year then ended, </w:t>
      </w:r>
      <w:r w:rsidR="002E0C8B" w:rsidRPr="002E0AD0">
        <w:rPr>
          <w:rFonts w:ascii="Calibri" w:eastAsia="MS UI Gothic" w:hAnsi="Calibri" w:cs="Calibri"/>
          <w:sz w:val="20"/>
          <w:szCs w:val="20"/>
          <w:lang w:bidi="ar-SA"/>
        </w:rPr>
        <w:t>and notes to the financial statements, including a summary of significant accounting policies</w:t>
      </w:r>
      <w:r w:rsidR="002E0C8B" w:rsidRPr="002E0AD0">
        <w:rPr>
          <w:rFonts w:ascii="Calibri" w:eastAsia="MS UI Gothic" w:hAnsi="Calibri" w:cs="Calibri"/>
          <w:kern w:val="20"/>
          <w:sz w:val="20"/>
          <w:szCs w:val="20"/>
          <w:cs/>
        </w:rPr>
        <w:t>.</w:t>
      </w:r>
    </w:p>
    <w:p w14:paraId="5997CC1D" w14:textId="77777777" w:rsidR="00A0064C" w:rsidRPr="002E0AD0" w:rsidRDefault="00A0064C" w:rsidP="00E95954">
      <w:pPr>
        <w:spacing w:line="240" w:lineRule="auto"/>
        <w:jc w:val="thaiDistribute"/>
        <w:rPr>
          <w:rFonts w:ascii="Calibri" w:eastAsia="MS UI Gothic" w:hAnsi="Calibri" w:cs="Calibri"/>
          <w:sz w:val="20"/>
          <w:szCs w:val="20"/>
        </w:rPr>
      </w:pPr>
    </w:p>
    <w:p w14:paraId="41ADB036" w14:textId="1ABF545E" w:rsidR="00A0064C" w:rsidRPr="002E0AD0" w:rsidRDefault="00A0064C" w:rsidP="00E95954">
      <w:pPr>
        <w:spacing w:line="240" w:lineRule="auto"/>
        <w:jc w:val="thaiDistribute"/>
        <w:outlineLvl w:val="0"/>
        <w:rPr>
          <w:rFonts w:ascii="Calibri" w:eastAsia="MS UI Gothic" w:hAnsi="Calibri" w:cs="Calibri"/>
          <w:spacing w:val="-4"/>
          <w:sz w:val="20"/>
          <w:szCs w:val="20"/>
        </w:rPr>
      </w:pPr>
      <w:r w:rsidRPr="002E0AD0">
        <w:rPr>
          <w:rFonts w:ascii="Calibri" w:eastAsia="MS UI Gothic" w:hAnsi="Calibri" w:cs="Calibri"/>
          <w:sz w:val="20"/>
          <w:szCs w:val="20"/>
        </w:rPr>
        <w:t xml:space="preserve">In my opinion, the financial statements referred to above present fairly, in all material respects, the consolidated financial position of </w:t>
      </w:r>
      <w:r w:rsidR="00680978" w:rsidRPr="002E0AD0">
        <w:rPr>
          <w:rFonts w:ascii="Calibri" w:eastAsia="MS UI Gothic" w:hAnsi="Calibri" w:cs="Calibri"/>
          <w:spacing w:val="4"/>
          <w:sz w:val="20"/>
          <w:szCs w:val="20"/>
        </w:rPr>
        <w:t>General Environment</w:t>
      </w:r>
      <w:r w:rsidR="00481FF5" w:rsidRPr="002E0AD0">
        <w:rPr>
          <w:rFonts w:ascii="Calibri" w:eastAsia="MS UI Gothic" w:hAnsi="Calibri" w:cs="Calibri"/>
          <w:spacing w:val="4"/>
          <w:sz w:val="20"/>
          <w:szCs w:val="20"/>
        </w:rPr>
        <w:t>al</w:t>
      </w:r>
      <w:r w:rsidR="00680978" w:rsidRPr="002E0AD0">
        <w:rPr>
          <w:rFonts w:ascii="Calibri" w:eastAsia="MS UI Gothic" w:hAnsi="Calibri" w:cs="Calibri"/>
          <w:spacing w:val="4"/>
          <w:sz w:val="20"/>
          <w:szCs w:val="20"/>
        </w:rPr>
        <w:t xml:space="preserve"> Conservation</w:t>
      </w:r>
      <w:r w:rsidR="00680978" w:rsidRPr="002E0AD0">
        <w:rPr>
          <w:rFonts w:ascii="Calibri" w:eastAsia="MS UI Gothic" w:hAnsi="Calibri" w:cs="Calibri"/>
          <w:b/>
          <w:bCs/>
          <w:spacing w:val="4"/>
          <w:sz w:val="20"/>
          <w:szCs w:val="20"/>
        </w:rPr>
        <w:t xml:space="preserve"> </w:t>
      </w:r>
      <w:r w:rsidRPr="002E0AD0">
        <w:rPr>
          <w:rFonts w:ascii="Calibri" w:eastAsia="MS UI Gothic" w:hAnsi="Calibri" w:cs="Calibri"/>
          <w:sz w:val="20"/>
          <w:szCs w:val="20"/>
        </w:rPr>
        <w:t xml:space="preserve">Public Company Limited and its subsidiaries as at December 31, </w:t>
      </w:r>
      <w:r w:rsidR="000F2B36">
        <w:rPr>
          <w:rFonts w:ascii="Calibri" w:eastAsia="MS UI Gothic" w:hAnsi="Calibri" w:cs="Calibri"/>
          <w:sz w:val="20"/>
          <w:szCs w:val="20"/>
        </w:rPr>
        <w:t>202</w:t>
      </w:r>
      <w:r w:rsidR="00C36ABD">
        <w:rPr>
          <w:rFonts w:ascii="Calibri" w:eastAsia="MS UI Gothic" w:hAnsi="Calibri" w:cs="Calibri"/>
          <w:sz w:val="20"/>
          <w:szCs w:val="20"/>
        </w:rPr>
        <w:t>5</w:t>
      </w:r>
      <w:r w:rsidRPr="002E0AD0">
        <w:rPr>
          <w:rFonts w:ascii="Calibri" w:eastAsia="MS UI Gothic" w:hAnsi="Calibri" w:cs="Calibri"/>
          <w:sz w:val="20"/>
          <w:szCs w:val="20"/>
        </w:rPr>
        <w:t xml:space="preserve">, and their consolidated financial performance and their cash flows for the year then ended and the financial position of </w:t>
      </w:r>
      <w:r w:rsidR="00680978" w:rsidRPr="002E0AD0">
        <w:rPr>
          <w:rFonts w:ascii="Calibri" w:eastAsia="MS UI Gothic" w:hAnsi="Calibri" w:cs="Calibri"/>
          <w:spacing w:val="4"/>
          <w:sz w:val="20"/>
          <w:szCs w:val="20"/>
        </w:rPr>
        <w:t>General Environment</w:t>
      </w:r>
      <w:r w:rsidR="00481FF5" w:rsidRPr="002E0AD0">
        <w:rPr>
          <w:rFonts w:ascii="Calibri" w:eastAsia="MS UI Gothic" w:hAnsi="Calibri" w:cs="Calibri"/>
          <w:spacing w:val="4"/>
          <w:sz w:val="20"/>
          <w:szCs w:val="20"/>
        </w:rPr>
        <w:t>al</w:t>
      </w:r>
      <w:r w:rsidR="00680978" w:rsidRPr="002E0AD0">
        <w:rPr>
          <w:rFonts w:ascii="Calibri" w:eastAsia="MS UI Gothic" w:hAnsi="Calibri" w:cs="Calibri"/>
          <w:spacing w:val="4"/>
          <w:sz w:val="20"/>
          <w:szCs w:val="20"/>
        </w:rPr>
        <w:t xml:space="preserve"> Conservation</w:t>
      </w:r>
      <w:r w:rsidR="00680978" w:rsidRPr="002E0AD0">
        <w:rPr>
          <w:rFonts w:ascii="Calibri" w:eastAsia="MS UI Gothic" w:hAnsi="Calibri" w:cs="Calibri"/>
          <w:b/>
          <w:bCs/>
          <w:spacing w:val="4"/>
          <w:sz w:val="20"/>
          <w:szCs w:val="20"/>
        </w:rPr>
        <w:t xml:space="preserve"> </w:t>
      </w:r>
      <w:r w:rsidRPr="002E0AD0">
        <w:rPr>
          <w:rFonts w:ascii="Calibri" w:eastAsia="MS UI Gothic" w:hAnsi="Calibri" w:cs="Calibri"/>
          <w:sz w:val="20"/>
          <w:szCs w:val="20"/>
        </w:rPr>
        <w:t xml:space="preserve">Public Company Limited as at </w:t>
      </w:r>
      <w:r w:rsidRPr="002E0AD0">
        <w:rPr>
          <w:rFonts w:ascii="Calibri" w:eastAsia="MS UI Gothic" w:hAnsi="Calibri" w:cs="Calibri"/>
          <w:spacing w:val="-4"/>
          <w:sz w:val="20"/>
          <w:szCs w:val="20"/>
        </w:rPr>
        <w:t xml:space="preserve">December 31, </w:t>
      </w:r>
      <w:r w:rsidR="000F2B36">
        <w:rPr>
          <w:rFonts w:ascii="Calibri" w:eastAsia="MS UI Gothic" w:hAnsi="Calibri" w:cs="Calibri"/>
          <w:spacing w:val="-4"/>
          <w:sz w:val="20"/>
          <w:szCs w:val="20"/>
        </w:rPr>
        <w:t>202</w:t>
      </w:r>
      <w:r w:rsidR="00C36ABD">
        <w:rPr>
          <w:rFonts w:ascii="Calibri" w:eastAsia="MS UI Gothic" w:hAnsi="Calibri" w:cs="Calibri"/>
          <w:spacing w:val="-4"/>
          <w:sz w:val="20"/>
          <w:szCs w:val="20"/>
        </w:rPr>
        <w:t>5</w:t>
      </w:r>
      <w:r w:rsidRPr="002E0AD0">
        <w:rPr>
          <w:rFonts w:ascii="Calibri" w:eastAsia="MS UI Gothic" w:hAnsi="Calibri" w:cs="Calibri"/>
          <w:spacing w:val="-4"/>
          <w:sz w:val="20"/>
          <w:szCs w:val="20"/>
        </w:rPr>
        <w:t>, and its financial performance and its cash flows for the year then ended in accordance</w:t>
      </w:r>
      <w:r w:rsidRPr="002E0AD0">
        <w:rPr>
          <w:rFonts w:ascii="Calibri" w:eastAsia="MS UI Gothic" w:hAnsi="Calibri" w:cs="Calibri"/>
          <w:sz w:val="20"/>
          <w:szCs w:val="20"/>
        </w:rPr>
        <w:t xml:space="preserve"> with Thai Financial Reporting Standards. </w:t>
      </w:r>
    </w:p>
    <w:p w14:paraId="110FFD37" w14:textId="77777777" w:rsidR="002D06C2" w:rsidRPr="005E3740" w:rsidRDefault="002D06C2" w:rsidP="00E95954">
      <w:pPr>
        <w:spacing w:line="240" w:lineRule="auto"/>
        <w:jc w:val="thaiDistribute"/>
        <w:outlineLvl w:val="0"/>
        <w:rPr>
          <w:rFonts w:ascii="Calibri" w:eastAsia="MS UI Gothic" w:hAnsi="Calibri" w:cs="Calibri"/>
          <w:sz w:val="21"/>
          <w:szCs w:val="21"/>
        </w:rPr>
      </w:pPr>
    </w:p>
    <w:p w14:paraId="2B656892" w14:textId="77777777" w:rsidR="002D06C2" w:rsidRPr="002E0AD0" w:rsidRDefault="002D06C2" w:rsidP="00E95954">
      <w:pPr>
        <w:spacing w:line="240" w:lineRule="auto"/>
        <w:jc w:val="thaiDistribute"/>
        <w:outlineLvl w:val="0"/>
        <w:rPr>
          <w:rFonts w:ascii="Calibri" w:eastAsia="MS UI Gothic" w:hAnsi="Calibri" w:cs="Calibri"/>
          <w:b/>
          <w:bCs/>
          <w:sz w:val="20"/>
          <w:szCs w:val="20"/>
        </w:rPr>
      </w:pPr>
      <w:r w:rsidRPr="002E0AD0">
        <w:rPr>
          <w:rFonts w:ascii="Calibri" w:eastAsia="MS UI Gothic" w:hAnsi="Calibri" w:cs="Calibri"/>
          <w:b/>
          <w:bCs/>
          <w:sz w:val="20"/>
          <w:szCs w:val="20"/>
        </w:rPr>
        <w:t>B</w:t>
      </w:r>
      <w:r w:rsidR="00BC5964" w:rsidRPr="002E0AD0">
        <w:rPr>
          <w:rFonts w:ascii="Calibri" w:eastAsia="MS UI Gothic" w:hAnsi="Calibri" w:cs="Calibri"/>
          <w:b/>
          <w:bCs/>
          <w:sz w:val="20"/>
          <w:szCs w:val="20"/>
        </w:rPr>
        <w:t>ASIS FOR OPINION</w:t>
      </w:r>
    </w:p>
    <w:p w14:paraId="6B699379" w14:textId="77777777" w:rsidR="002D06C2" w:rsidRPr="002E0AD0" w:rsidRDefault="002D06C2" w:rsidP="00E95954">
      <w:pPr>
        <w:spacing w:line="240" w:lineRule="auto"/>
        <w:jc w:val="thaiDistribute"/>
        <w:outlineLvl w:val="0"/>
        <w:rPr>
          <w:rFonts w:ascii="Calibri" w:eastAsia="MS UI Gothic" w:hAnsi="Calibri" w:cs="Calibri"/>
          <w:b/>
          <w:bCs/>
          <w:sz w:val="20"/>
          <w:szCs w:val="20"/>
        </w:rPr>
      </w:pPr>
    </w:p>
    <w:p w14:paraId="3341E6B6" w14:textId="77777777" w:rsidR="00CE4D14" w:rsidRDefault="001A7BC7" w:rsidP="00E95954">
      <w:pPr>
        <w:spacing w:line="240" w:lineRule="auto"/>
        <w:jc w:val="thaiDistribute"/>
        <w:outlineLvl w:val="0"/>
        <w:rPr>
          <w:rFonts w:ascii="Calibri" w:eastAsia="MS UI Gothic" w:hAnsi="Calibri" w:cs="Calibri"/>
          <w:sz w:val="20"/>
          <w:szCs w:val="20"/>
        </w:rPr>
      </w:pPr>
      <w:r w:rsidRPr="001A7BC7">
        <w:rPr>
          <w:rFonts w:ascii="Calibri" w:eastAsia="MS UI Gothic" w:hAnsi="Calibri" w:cs="Calibri"/>
          <w:sz w:val="20"/>
          <w:szCs w:val="20"/>
        </w:rPr>
        <w:t>I conducted my audit in accordance with Thai Standards on Auditing. My responsibilities under those standards are further described in the Auditor’s Responsibilities for the Audit of the Financial Statements section of my report. I am independent of the Company in accordance with the Code of Ethics for Professional Accountants including Independence Standards issued by the Federation of Accounting Professions (Code of Ethics for Professional Accountants) that are relevant to my audit of the financial statements, and I have fulfilled my other ethical responsibilities in accordance with the Code of Ethics for Professional Accountants. I believe that the audit evidence I have obtained is sufficient and appropriate to provide a basis for my opinion.</w:t>
      </w:r>
    </w:p>
    <w:p w14:paraId="3FE9F23F" w14:textId="77777777" w:rsidR="001A7BC7" w:rsidRPr="002E0AD0" w:rsidRDefault="001A7BC7" w:rsidP="00E95954">
      <w:pPr>
        <w:spacing w:line="240" w:lineRule="auto"/>
        <w:jc w:val="thaiDistribute"/>
        <w:outlineLvl w:val="0"/>
        <w:rPr>
          <w:rFonts w:ascii="Calibri" w:eastAsia="MS UI Gothic" w:hAnsi="Calibri" w:cs="Calibri"/>
          <w:sz w:val="20"/>
          <w:szCs w:val="20"/>
        </w:rPr>
      </w:pPr>
    </w:p>
    <w:p w14:paraId="59C3558C" w14:textId="77777777" w:rsidR="00CE4D14" w:rsidRPr="002E0AD0" w:rsidRDefault="00CE4D14" w:rsidP="00E95954">
      <w:pPr>
        <w:spacing w:line="240" w:lineRule="auto"/>
        <w:jc w:val="thaiDistribute"/>
        <w:outlineLvl w:val="0"/>
        <w:rPr>
          <w:rFonts w:ascii="Calibri" w:eastAsia="MS UI Gothic" w:hAnsi="Calibri" w:cs="Calibri"/>
          <w:b/>
          <w:bCs/>
          <w:sz w:val="20"/>
          <w:szCs w:val="20"/>
        </w:rPr>
      </w:pPr>
      <w:r w:rsidRPr="002E0AD0">
        <w:rPr>
          <w:rFonts w:ascii="Calibri" w:eastAsia="MS UI Gothic" w:hAnsi="Calibri" w:cs="Calibri"/>
          <w:b/>
          <w:bCs/>
          <w:sz w:val="20"/>
          <w:szCs w:val="20"/>
        </w:rPr>
        <w:t>K</w:t>
      </w:r>
      <w:r w:rsidR="00BC5964" w:rsidRPr="002E0AD0">
        <w:rPr>
          <w:rFonts w:ascii="Calibri" w:eastAsia="MS UI Gothic" w:hAnsi="Calibri" w:cs="Calibri"/>
          <w:b/>
          <w:bCs/>
          <w:sz w:val="20"/>
          <w:szCs w:val="20"/>
        </w:rPr>
        <w:t>EY AUDIT MATTERS</w:t>
      </w:r>
    </w:p>
    <w:p w14:paraId="1F72F646" w14:textId="77777777" w:rsidR="00CE4D14" w:rsidRPr="002E0AD0" w:rsidRDefault="00CE4D14" w:rsidP="00E95954">
      <w:pPr>
        <w:spacing w:line="240" w:lineRule="auto"/>
        <w:jc w:val="thaiDistribute"/>
        <w:outlineLvl w:val="0"/>
        <w:rPr>
          <w:rFonts w:ascii="Calibri" w:eastAsia="MS UI Gothic" w:hAnsi="Calibri" w:cs="Calibri"/>
          <w:sz w:val="20"/>
          <w:szCs w:val="20"/>
        </w:rPr>
      </w:pPr>
    </w:p>
    <w:p w14:paraId="0D7299AE" w14:textId="77777777" w:rsidR="00733D0E" w:rsidRPr="002E0AD0" w:rsidRDefault="003C1D19" w:rsidP="00E95954">
      <w:pPr>
        <w:spacing w:line="240" w:lineRule="auto"/>
        <w:jc w:val="thaiDistribute"/>
        <w:outlineLvl w:val="0"/>
        <w:rPr>
          <w:rFonts w:ascii="Calibri" w:eastAsia="MS UI Gothic" w:hAnsi="Calibri" w:cs="Calibri"/>
          <w:kern w:val="20"/>
          <w:sz w:val="20"/>
          <w:szCs w:val="20"/>
          <w:lang w:bidi="he-IL"/>
        </w:rPr>
      </w:pPr>
      <w:r w:rsidRPr="002E0AD0">
        <w:rPr>
          <w:rFonts w:ascii="Calibri" w:eastAsia="MS UI Gothic" w:hAnsi="Calibri" w:cs="Calibri"/>
          <w:kern w:val="20"/>
          <w:sz w:val="20"/>
          <w:szCs w:val="20"/>
          <w:lang w:bidi="he-IL"/>
        </w:rPr>
        <w:t xml:space="preserve">Key audit matters are those matters that, in my professional </w:t>
      </w:r>
      <w:r w:rsidR="00AA00A7" w:rsidRPr="002E0AD0">
        <w:rPr>
          <w:rFonts w:ascii="Calibri" w:eastAsia="MS UI Gothic" w:hAnsi="Calibri" w:cs="Calibri"/>
          <w:kern w:val="20"/>
          <w:sz w:val="20"/>
          <w:szCs w:val="20"/>
          <w:lang w:bidi="he-IL"/>
        </w:rPr>
        <w:t>judgment</w:t>
      </w:r>
      <w:r w:rsidRPr="002E0AD0">
        <w:rPr>
          <w:rFonts w:ascii="Calibri" w:eastAsia="MS UI Gothic" w:hAnsi="Calibri" w:cs="Calibri"/>
          <w:kern w:val="20"/>
          <w:sz w:val="20"/>
          <w:szCs w:val="20"/>
          <w:lang w:bidi="he-IL"/>
        </w:rPr>
        <w:t xml:space="preserve">, were of most significance in my audit of the financial statements of the current period. These matters were addressed in the context of my audit of the financial </w:t>
      </w:r>
      <w:proofErr w:type="gramStart"/>
      <w:r w:rsidRPr="002E0AD0">
        <w:rPr>
          <w:rFonts w:ascii="Calibri" w:eastAsia="MS UI Gothic" w:hAnsi="Calibri" w:cs="Calibri"/>
          <w:kern w:val="20"/>
          <w:sz w:val="20"/>
          <w:szCs w:val="20"/>
          <w:lang w:bidi="he-IL"/>
        </w:rPr>
        <w:t>statements as a whole, and</w:t>
      </w:r>
      <w:proofErr w:type="gramEnd"/>
      <w:r w:rsidRPr="002E0AD0">
        <w:rPr>
          <w:rFonts w:ascii="Calibri" w:eastAsia="MS UI Gothic" w:hAnsi="Calibri" w:cs="Calibri"/>
          <w:kern w:val="20"/>
          <w:sz w:val="20"/>
          <w:szCs w:val="20"/>
          <w:lang w:bidi="he-IL"/>
        </w:rPr>
        <w:t xml:space="preserve"> in forming my opinion thereon, and I do not provide a separate</w:t>
      </w:r>
      <w:r w:rsidR="00733D0E" w:rsidRPr="002E0AD0">
        <w:rPr>
          <w:rFonts w:ascii="Calibri" w:eastAsia="MS UI Gothic" w:hAnsi="Calibri" w:cs="Calibri"/>
          <w:kern w:val="20"/>
          <w:sz w:val="20"/>
          <w:szCs w:val="20"/>
          <w:lang w:bidi="he-IL"/>
        </w:rPr>
        <w:t xml:space="preserve"> </w:t>
      </w:r>
      <w:r w:rsidRPr="002E0AD0">
        <w:rPr>
          <w:rFonts w:ascii="Calibri" w:eastAsia="MS UI Gothic" w:hAnsi="Calibri" w:cs="Calibri"/>
          <w:kern w:val="20"/>
          <w:sz w:val="20"/>
          <w:szCs w:val="20"/>
          <w:lang w:bidi="he-IL"/>
        </w:rPr>
        <w:t>opinion on these matters.</w:t>
      </w:r>
    </w:p>
    <w:p w14:paraId="08CE6F91" w14:textId="77777777" w:rsidR="00733D0E" w:rsidRPr="002E0AD0" w:rsidRDefault="00733D0E" w:rsidP="00E95954">
      <w:pPr>
        <w:spacing w:line="240" w:lineRule="auto"/>
        <w:jc w:val="thaiDistribute"/>
        <w:outlineLvl w:val="0"/>
        <w:rPr>
          <w:rFonts w:ascii="Calibri" w:eastAsia="MS UI Gothic" w:hAnsi="Calibri" w:cs="Calibri"/>
          <w:kern w:val="20"/>
          <w:sz w:val="20"/>
          <w:szCs w:val="20"/>
          <w:lang w:bidi="he-IL"/>
        </w:rPr>
      </w:pPr>
    </w:p>
    <w:p w14:paraId="61CDCEAD" w14:textId="77777777" w:rsidR="007A6E0C" w:rsidRPr="002E0AD0" w:rsidRDefault="007A6E0C" w:rsidP="00E95954">
      <w:pPr>
        <w:pStyle w:val="ps-000-normal"/>
        <w:spacing w:after="0"/>
        <w:jc w:val="thaiDistribute"/>
        <w:rPr>
          <w:rFonts w:ascii="Calibri" w:eastAsia="MS UI Gothic" w:hAnsi="Calibri" w:cs="Calibri"/>
          <w:iCs/>
          <w:color w:val="auto"/>
          <w:kern w:val="20"/>
          <w:lang w:bidi="he-IL"/>
        </w:rPr>
      </w:pPr>
    </w:p>
    <w:p w14:paraId="6BB9E253" w14:textId="77777777" w:rsidR="007A6E0C" w:rsidRPr="002E0AD0" w:rsidRDefault="007A6E0C" w:rsidP="00E95954">
      <w:pPr>
        <w:pStyle w:val="ps-000-normal"/>
        <w:spacing w:after="0"/>
        <w:jc w:val="thaiDistribute"/>
        <w:rPr>
          <w:rFonts w:ascii="Calibri" w:eastAsia="MS UI Gothic" w:hAnsi="Calibri" w:cs="Calibri"/>
          <w:iCs/>
          <w:color w:val="auto"/>
          <w:kern w:val="20"/>
          <w:lang w:bidi="he-IL"/>
        </w:rPr>
      </w:pPr>
    </w:p>
    <w:p w14:paraId="23DE523C" w14:textId="77777777" w:rsidR="00E0668F" w:rsidRPr="002E0AD0" w:rsidRDefault="00E0668F" w:rsidP="00E95954">
      <w:pPr>
        <w:pStyle w:val="ps-000-normal"/>
        <w:spacing w:after="0"/>
        <w:jc w:val="thaiDistribute"/>
        <w:rPr>
          <w:rFonts w:ascii="Calibri" w:eastAsia="MS UI Gothic" w:hAnsi="Calibri" w:cs="Calibri"/>
          <w:iCs/>
          <w:color w:val="auto"/>
          <w:kern w:val="20"/>
          <w:lang w:bidi="he-IL"/>
        </w:rPr>
        <w:sectPr w:rsidR="00E0668F" w:rsidRPr="002E0AD0" w:rsidSect="00D824B4">
          <w:pgSz w:w="11909" w:h="16834" w:code="9"/>
          <w:pgMar w:top="1440" w:right="1151" w:bottom="578" w:left="1440" w:header="476" w:footer="374" w:gutter="0"/>
          <w:pgNumType w:start="2"/>
          <w:cols w:space="720"/>
          <w:titlePg/>
          <w:docGrid w:linePitch="408"/>
        </w:sectPr>
      </w:pPr>
    </w:p>
    <w:tbl>
      <w:tblPr>
        <w:tblW w:w="9631" w:type="dxa"/>
        <w:tblLayout w:type="fixed"/>
        <w:tblLook w:val="04A0" w:firstRow="1" w:lastRow="0" w:firstColumn="1" w:lastColumn="0" w:noHBand="0" w:noVBand="1"/>
      </w:tblPr>
      <w:tblGrid>
        <w:gridCol w:w="4452"/>
        <w:gridCol w:w="236"/>
        <w:gridCol w:w="4943"/>
      </w:tblGrid>
      <w:tr w:rsidR="0022689A" w:rsidRPr="002E0AD0" w14:paraId="64180D7D" w14:textId="77777777" w:rsidTr="00135DD2">
        <w:trPr>
          <w:tblHeader/>
        </w:trPr>
        <w:tc>
          <w:tcPr>
            <w:tcW w:w="4452" w:type="dxa"/>
            <w:tcBorders>
              <w:bottom w:val="single" w:sz="4" w:space="0" w:color="auto"/>
            </w:tcBorders>
          </w:tcPr>
          <w:p w14:paraId="47B9CCDD" w14:textId="77777777" w:rsidR="0022689A" w:rsidRPr="002E0AD0" w:rsidRDefault="0022689A" w:rsidP="00902FAE">
            <w:pPr>
              <w:spacing w:line="240" w:lineRule="auto"/>
              <w:jc w:val="thaiDistribute"/>
              <w:outlineLvl w:val="0"/>
              <w:rPr>
                <w:rFonts w:ascii="Calibri" w:eastAsia="MS UI Gothic" w:hAnsi="Calibri" w:cs="Calibri"/>
                <w:b/>
                <w:bCs/>
                <w:iCs/>
                <w:kern w:val="20"/>
                <w:sz w:val="20"/>
                <w:szCs w:val="20"/>
                <w:lang w:bidi="he-IL"/>
              </w:rPr>
            </w:pPr>
            <w:r w:rsidRPr="002E0AD0">
              <w:rPr>
                <w:rFonts w:ascii="Calibri" w:eastAsia="MS UI Gothic" w:hAnsi="Calibri" w:cs="Calibri"/>
                <w:b/>
                <w:bCs/>
                <w:iCs/>
                <w:kern w:val="20"/>
                <w:sz w:val="20"/>
                <w:szCs w:val="20"/>
                <w:lang w:bidi="he-IL"/>
              </w:rPr>
              <w:lastRenderedPageBreak/>
              <w:t>Key Audit Matters</w:t>
            </w:r>
          </w:p>
        </w:tc>
        <w:tc>
          <w:tcPr>
            <w:tcW w:w="236" w:type="dxa"/>
            <w:tcBorders>
              <w:bottom w:val="single" w:sz="4" w:space="0" w:color="auto"/>
            </w:tcBorders>
          </w:tcPr>
          <w:p w14:paraId="52E56223" w14:textId="77777777" w:rsidR="0022689A" w:rsidRPr="002E0AD0" w:rsidRDefault="0022689A" w:rsidP="00902FAE">
            <w:pPr>
              <w:spacing w:line="240" w:lineRule="auto"/>
              <w:jc w:val="thaiDistribute"/>
              <w:outlineLvl w:val="0"/>
              <w:rPr>
                <w:rFonts w:ascii="Calibri" w:eastAsia="MS UI Gothic" w:hAnsi="Calibri" w:cs="Calibri"/>
                <w:b/>
                <w:bCs/>
                <w:iCs/>
                <w:kern w:val="20"/>
                <w:sz w:val="20"/>
                <w:szCs w:val="20"/>
                <w:lang w:bidi="he-IL"/>
              </w:rPr>
            </w:pPr>
          </w:p>
        </w:tc>
        <w:tc>
          <w:tcPr>
            <w:tcW w:w="4943" w:type="dxa"/>
            <w:tcBorders>
              <w:bottom w:val="single" w:sz="4" w:space="0" w:color="auto"/>
            </w:tcBorders>
          </w:tcPr>
          <w:p w14:paraId="755A98E0" w14:textId="77777777" w:rsidR="0022689A" w:rsidRPr="002E0AD0" w:rsidRDefault="0022689A" w:rsidP="0006671F">
            <w:pPr>
              <w:spacing w:line="240" w:lineRule="auto"/>
              <w:jc w:val="thaiDistribute"/>
              <w:outlineLvl w:val="0"/>
              <w:rPr>
                <w:rFonts w:ascii="Calibri" w:eastAsia="MS UI Gothic" w:hAnsi="Calibri" w:cs="Calibri"/>
                <w:b/>
                <w:bCs/>
                <w:iCs/>
                <w:kern w:val="20"/>
                <w:sz w:val="20"/>
                <w:szCs w:val="20"/>
                <w:lang w:bidi="he-IL"/>
              </w:rPr>
            </w:pPr>
            <w:r w:rsidRPr="002E0AD0">
              <w:rPr>
                <w:rFonts w:ascii="Calibri" w:eastAsia="MS UI Gothic" w:hAnsi="Calibri" w:cs="Calibri"/>
                <w:b/>
                <w:bCs/>
                <w:iCs/>
                <w:kern w:val="20"/>
                <w:sz w:val="20"/>
                <w:szCs w:val="20"/>
                <w:lang w:bidi="he-IL"/>
              </w:rPr>
              <w:t>How my audit addressed the key audit matters</w:t>
            </w:r>
          </w:p>
        </w:tc>
      </w:tr>
      <w:tr w:rsidR="0022689A" w:rsidRPr="002E0AD0" w14:paraId="5E24ECF8" w14:textId="77777777" w:rsidTr="00135DD2">
        <w:tc>
          <w:tcPr>
            <w:tcW w:w="4452" w:type="dxa"/>
            <w:tcBorders>
              <w:top w:val="single" w:sz="4" w:space="0" w:color="auto"/>
              <w:bottom w:val="single" w:sz="4" w:space="0" w:color="auto"/>
            </w:tcBorders>
          </w:tcPr>
          <w:p w14:paraId="68995B3D" w14:textId="07414E67" w:rsidR="0022689A" w:rsidRPr="002E0AD0" w:rsidRDefault="0022689A" w:rsidP="00902FAE">
            <w:pPr>
              <w:spacing w:line="240" w:lineRule="auto"/>
              <w:jc w:val="thaiDistribute"/>
              <w:outlineLvl w:val="0"/>
              <w:rPr>
                <w:rFonts w:ascii="Calibri" w:eastAsia="MS UI Gothic" w:hAnsi="Calibri" w:cs="Calibri"/>
                <w:b/>
                <w:bCs/>
                <w:i/>
                <w:kern w:val="20"/>
                <w:sz w:val="20"/>
                <w:szCs w:val="20"/>
                <w:lang w:bidi="he-IL"/>
              </w:rPr>
            </w:pPr>
            <w:r w:rsidRPr="002E0AD0">
              <w:rPr>
                <w:rFonts w:ascii="Calibri" w:eastAsia="MS UI Gothic" w:hAnsi="Calibri" w:cs="Calibri"/>
                <w:b/>
                <w:bCs/>
                <w:i/>
                <w:kern w:val="20"/>
                <w:sz w:val="20"/>
                <w:szCs w:val="20"/>
                <w:lang w:bidi="he-IL"/>
              </w:rPr>
              <w:t>Revenue recognition from services</w:t>
            </w:r>
          </w:p>
          <w:p w14:paraId="07547A01" w14:textId="77777777" w:rsidR="0022689A" w:rsidRPr="002E0AD0" w:rsidRDefault="0022689A" w:rsidP="00902FAE">
            <w:pPr>
              <w:spacing w:line="240" w:lineRule="auto"/>
              <w:jc w:val="thaiDistribute"/>
              <w:outlineLvl w:val="0"/>
              <w:rPr>
                <w:rFonts w:ascii="Calibri" w:eastAsia="MS UI Gothic" w:hAnsi="Calibri" w:cs="Calibri"/>
                <w:b/>
                <w:bCs/>
                <w:i/>
                <w:kern w:val="20"/>
                <w:sz w:val="20"/>
                <w:szCs w:val="20"/>
                <w:lang w:bidi="he-IL"/>
              </w:rPr>
            </w:pPr>
          </w:p>
          <w:p w14:paraId="545C6547" w14:textId="41C3D93C" w:rsidR="0022689A" w:rsidRPr="002E0AD0" w:rsidRDefault="0022689A" w:rsidP="002C23BA">
            <w:pPr>
              <w:tabs>
                <w:tab w:val="clear" w:pos="454"/>
                <w:tab w:val="left" w:pos="142"/>
              </w:tabs>
              <w:ind w:right="-64"/>
              <w:jc w:val="thaiDistribute"/>
              <w:rPr>
                <w:rFonts w:ascii="Calibri" w:eastAsia="MS UI Gothic" w:hAnsi="Calibri" w:cs="Calibri"/>
                <w:sz w:val="20"/>
                <w:szCs w:val="20"/>
              </w:rPr>
            </w:pPr>
            <w:r w:rsidRPr="002C23BA">
              <w:rPr>
                <w:rFonts w:ascii="Calibri" w:eastAsia="MS UI Gothic" w:hAnsi="Calibri" w:cs="Calibri"/>
                <w:sz w:val="20"/>
                <w:szCs w:val="20"/>
              </w:rPr>
              <w:t xml:space="preserve">The Group </w:t>
            </w:r>
            <w:proofErr w:type="gramStart"/>
            <w:r w:rsidRPr="002C23BA">
              <w:rPr>
                <w:rFonts w:ascii="Calibri" w:eastAsia="MS UI Gothic" w:hAnsi="Calibri" w:cs="Calibri"/>
                <w:sz w:val="20"/>
                <w:szCs w:val="20"/>
              </w:rPr>
              <w:t>operates</w:t>
            </w:r>
            <w:proofErr w:type="gramEnd"/>
            <w:r w:rsidRPr="002C23BA">
              <w:rPr>
                <w:rFonts w:ascii="Calibri" w:eastAsia="MS UI Gothic" w:hAnsi="Calibri" w:cs="Calibri"/>
                <w:sz w:val="20"/>
                <w:szCs w:val="20"/>
              </w:rPr>
              <w:t xml:space="preserve"> the treatment of industrial waste and unavoidable by - products of manufacturing processes. Revenue from services </w:t>
            </w:r>
            <w:r w:rsidR="002C23BA" w:rsidRPr="002C23BA">
              <w:rPr>
                <w:rFonts w:ascii="Calibri" w:eastAsia="MS UI Gothic" w:hAnsi="Calibri" w:cs="Calibri"/>
                <w:sz w:val="20"/>
                <w:szCs w:val="20"/>
              </w:rPr>
              <w:t>is</w:t>
            </w:r>
            <w:r w:rsidRPr="002C23BA">
              <w:rPr>
                <w:rFonts w:ascii="Calibri" w:eastAsia="MS UI Gothic" w:hAnsi="Calibri" w:cs="Calibri"/>
                <w:sz w:val="20"/>
                <w:szCs w:val="20"/>
              </w:rPr>
              <w:t xml:space="preserve"> the most significant amount in the financial statements. Therefore, there are risks with respect to the correctness in amount and occurrence of revenue from</w:t>
            </w:r>
            <w:r w:rsidR="002C23BA" w:rsidRPr="002C23BA">
              <w:rPr>
                <w:rFonts w:ascii="Calibri" w:eastAsia="MS UI Gothic" w:hAnsi="Calibri" w:cs="Calibri"/>
                <w:sz w:val="20"/>
                <w:szCs w:val="20"/>
              </w:rPr>
              <w:t xml:space="preserve"> </w:t>
            </w:r>
            <w:proofErr w:type="gramStart"/>
            <w:r w:rsidRPr="002C23BA">
              <w:rPr>
                <w:rFonts w:ascii="Calibri" w:eastAsia="MS UI Gothic" w:hAnsi="Calibri" w:cs="Calibri"/>
                <w:sz w:val="20"/>
                <w:szCs w:val="20"/>
              </w:rPr>
              <w:t>comply</w:t>
            </w:r>
            <w:proofErr w:type="gramEnd"/>
            <w:r w:rsidRPr="002C23BA">
              <w:rPr>
                <w:rFonts w:ascii="Calibri" w:eastAsia="MS UI Gothic" w:hAnsi="Calibri" w:cs="Calibri"/>
                <w:sz w:val="20"/>
                <w:szCs w:val="20"/>
              </w:rPr>
              <w:t xml:space="preserve"> with accounting policy of revenue recognition</w:t>
            </w:r>
            <w:r w:rsidRPr="002C23BA">
              <w:rPr>
                <w:rFonts w:ascii="Calibri" w:hAnsi="Calibri" w:cs="Calibri"/>
                <w:sz w:val="20"/>
                <w:szCs w:val="20"/>
              </w:rPr>
              <w:t xml:space="preserve"> described in note</w:t>
            </w:r>
            <w:r w:rsidR="00775040" w:rsidRPr="002C23BA">
              <w:rPr>
                <w:rFonts w:ascii="Calibri" w:hAnsi="Calibri" w:cs="Calibri"/>
                <w:sz w:val="20"/>
                <w:szCs w:val="20"/>
              </w:rPr>
              <w:t xml:space="preserve"> </w:t>
            </w:r>
            <w:r w:rsidR="00F754E4" w:rsidRPr="002C23BA">
              <w:rPr>
                <w:rFonts w:ascii="Calibri" w:hAnsi="Calibri" w:cs="Calibri"/>
                <w:sz w:val="20"/>
                <w:szCs w:val="20"/>
              </w:rPr>
              <w:t>4</w:t>
            </w:r>
            <w:r w:rsidRPr="002C23BA">
              <w:rPr>
                <w:rFonts w:ascii="Calibri" w:hAnsi="Calibri" w:cs="Calibri"/>
                <w:sz w:val="20"/>
                <w:szCs w:val="20"/>
              </w:rPr>
              <w:t xml:space="preserve"> to the financial statements.</w:t>
            </w:r>
          </w:p>
          <w:p w14:paraId="5043CB0F" w14:textId="77777777" w:rsidR="0022689A" w:rsidRPr="002E0AD0" w:rsidRDefault="0022689A" w:rsidP="00D83CEF">
            <w:pPr>
              <w:tabs>
                <w:tab w:val="clear" w:pos="454"/>
                <w:tab w:val="left" w:pos="142"/>
              </w:tabs>
              <w:jc w:val="thaiDistribute"/>
              <w:rPr>
                <w:rFonts w:ascii="Calibri" w:eastAsia="MS UI Gothic" w:hAnsi="Calibri" w:cs="Calibri"/>
                <w:iCs/>
                <w:kern w:val="20"/>
                <w:sz w:val="20"/>
                <w:szCs w:val="20"/>
                <w:lang w:bidi="he-IL"/>
              </w:rPr>
            </w:pPr>
          </w:p>
        </w:tc>
        <w:tc>
          <w:tcPr>
            <w:tcW w:w="236" w:type="dxa"/>
            <w:tcBorders>
              <w:top w:val="single" w:sz="4" w:space="0" w:color="auto"/>
              <w:bottom w:val="single" w:sz="4" w:space="0" w:color="auto"/>
            </w:tcBorders>
          </w:tcPr>
          <w:p w14:paraId="07459315" w14:textId="77777777" w:rsidR="0022689A" w:rsidRPr="002E0AD0" w:rsidRDefault="0022689A" w:rsidP="006E6D81">
            <w:pPr>
              <w:spacing w:line="240" w:lineRule="auto"/>
              <w:jc w:val="thaiDistribute"/>
              <w:outlineLvl w:val="0"/>
              <w:rPr>
                <w:rFonts w:ascii="Calibri" w:eastAsia="MS UI Gothic" w:hAnsi="Calibri" w:cs="Calibri"/>
                <w:b/>
                <w:bCs/>
                <w:i/>
                <w:kern w:val="20"/>
                <w:sz w:val="20"/>
                <w:szCs w:val="20"/>
                <w:lang w:bidi="he-IL"/>
              </w:rPr>
            </w:pPr>
          </w:p>
        </w:tc>
        <w:tc>
          <w:tcPr>
            <w:tcW w:w="4943" w:type="dxa"/>
            <w:tcBorders>
              <w:top w:val="single" w:sz="4" w:space="0" w:color="auto"/>
              <w:bottom w:val="single" w:sz="4" w:space="0" w:color="auto"/>
            </w:tcBorders>
          </w:tcPr>
          <w:p w14:paraId="6537F28F" w14:textId="77777777" w:rsidR="0022689A" w:rsidRPr="002E0AD0" w:rsidRDefault="0022689A" w:rsidP="00135DD2">
            <w:pPr>
              <w:tabs>
                <w:tab w:val="clear" w:pos="4451"/>
                <w:tab w:val="clear" w:pos="4678"/>
              </w:tabs>
              <w:spacing w:line="240" w:lineRule="auto"/>
              <w:ind w:right="33"/>
              <w:jc w:val="thaiDistribute"/>
              <w:outlineLvl w:val="0"/>
              <w:rPr>
                <w:rFonts w:ascii="Calibri" w:eastAsia="MS UI Gothic" w:hAnsi="Calibri" w:cs="Calibri"/>
                <w:b/>
                <w:bCs/>
                <w:i/>
                <w:kern w:val="20"/>
                <w:sz w:val="20"/>
                <w:szCs w:val="20"/>
                <w:lang w:bidi="he-IL"/>
              </w:rPr>
            </w:pPr>
          </w:p>
          <w:p w14:paraId="6DFB9E20" w14:textId="77777777" w:rsidR="0022689A" w:rsidRPr="002E0AD0" w:rsidRDefault="0022689A" w:rsidP="00135DD2">
            <w:pPr>
              <w:tabs>
                <w:tab w:val="clear" w:pos="4451"/>
                <w:tab w:val="clear" w:pos="4678"/>
              </w:tabs>
              <w:spacing w:line="240" w:lineRule="auto"/>
              <w:ind w:right="33"/>
              <w:jc w:val="thaiDistribute"/>
              <w:outlineLvl w:val="0"/>
              <w:rPr>
                <w:rFonts w:ascii="Calibri" w:eastAsia="MS UI Gothic" w:hAnsi="Calibri" w:cs="Calibri"/>
                <w:b/>
                <w:bCs/>
                <w:i/>
                <w:kern w:val="20"/>
                <w:sz w:val="20"/>
                <w:szCs w:val="20"/>
                <w:lang w:bidi="he-IL"/>
              </w:rPr>
            </w:pPr>
          </w:p>
          <w:p w14:paraId="70DF9E56" w14:textId="77777777" w:rsidR="0022689A" w:rsidRPr="002E0AD0" w:rsidRDefault="0022689A" w:rsidP="00135DD2">
            <w:pPr>
              <w:tabs>
                <w:tab w:val="clear" w:pos="4451"/>
                <w:tab w:val="clear" w:pos="4678"/>
              </w:tabs>
              <w:spacing w:line="240" w:lineRule="auto"/>
              <w:ind w:right="33"/>
              <w:jc w:val="thaiDistribute"/>
              <w:outlineLvl w:val="0"/>
              <w:rPr>
                <w:rFonts w:ascii="Calibri" w:eastAsia="MS UI Gothic" w:hAnsi="Calibri" w:cs="Calibri"/>
                <w:b/>
                <w:bCs/>
                <w:i/>
                <w:kern w:val="20"/>
                <w:sz w:val="20"/>
                <w:szCs w:val="20"/>
                <w:lang w:bidi="he-IL"/>
              </w:rPr>
            </w:pPr>
          </w:p>
          <w:p w14:paraId="04C58C5C" w14:textId="77777777" w:rsidR="0022689A" w:rsidRPr="002E0AD0" w:rsidRDefault="0022689A" w:rsidP="00135DD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overflowPunct w:val="0"/>
              <w:autoSpaceDE w:val="0"/>
              <w:autoSpaceDN w:val="0"/>
              <w:adjustRightInd w:val="0"/>
              <w:spacing w:line="240" w:lineRule="auto"/>
              <w:ind w:left="18" w:right="33"/>
              <w:contextualSpacing/>
              <w:jc w:val="thaiDistribute"/>
              <w:textAlignment w:val="baseline"/>
              <w:rPr>
                <w:rFonts w:ascii="Calibri" w:eastAsia="MS UI Gothic" w:hAnsi="Calibri" w:cs="Calibri"/>
                <w:sz w:val="20"/>
                <w:szCs w:val="20"/>
              </w:rPr>
            </w:pPr>
            <w:r w:rsidRPr="002E0AD0">
              <w:rPr>
                <w:rFonts w:ascii="Calibri" w:eastAsia="MS UI Gothic" w:hAnsi="Calibri" w:cs="Calibri"/>
                <w:iCs/>
                <w:kern w:val="20"/>
                <w:sz w:val="20"/>
                <w:szCs w:val="20"/>
                <w:lang w:bidi="he-IL"/>
              </w:rPr>
              <w:t xml:space="preserve">My audit </w:t>
            </w:r>
            <w:r w:rsidRPr="002E0AD0">
              <w:rPr>
                <w:rFonts w:ascii="Calibri" w:hAnsi="Calibri" w:cs="Calibri"/>
                <w:sz w:val="20"/>
                <w:szCs w:val="20"/>
              </w:rPr>
              <w:t>procedures included, among others,</w:t>
            </w:r>
          </w:p>
          <w:p w14:paraId="36E1F1DC" w14:textId="547CDC67" w:rsidR="0022689A" w:rsidRPr="002E0AD0" w:rsidRDefault="0022689A" w:rsidP="00135DD2">
            <w:pPr>
              <w:numPr>
                <w:ilvl w:val="0"/>
                <w:numId w:val="24"/>
              </w:num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overflowPunct w:val="0"/>
              <w:autoSpaceDE w:val="0"/>
              <w:autoSpaceDN w:val="0"/>
              <w:adjustRightInd w:val="0"/>
              <w:spacing w:line="240" w:lineRule="auto"/>
              <w:ind w:left="340" w:right="33" w:hanging="322"/>
              <w:contextualSpacing/>
              <w:jc w:val="thaiDistribute"/>
              <w:textAlignment w:val="baseline"/>
              <w:rPr>
                <w:rFonts w:ascii="Calibri" w:eastAsia="MS UI Gothic" w:hAnsi="Calibri" w:cs="Calibri"/>
                <w:sz w:val="20"/>
                <w:szCs w:val="20"/>
              </w:rPr>
            </w:pPr>
            <w:r w:rsidRPr="002E0AD0">
              <w:rPr>
                <w:rFonts w:ascii="Calibri" w:eastAsia="MS UI Gothic" w:hAnsi="Calibri" w:cs="Calibri"/>
                <w:sz w:val="20"/>
                <w:szCs w:val="20"/>
              </w:rPr>
              <w:t>Assessing the Group’s accounting policies relating to recognition of revenue from service</w:t>
            </w:r>
            <w:r w:rsidR="002C23BA">
              <w:rPr>
                <w:rFonts w:ascii="Calibri" w:eastAsia="MS UI Gothic" w:hAnsi="Calibri" w:cs="Calibri"/>
                <w:sz w:val="20"/>
                <w:szCs w:val="20"/>
              </w:rPr>
              <w:t xml:space="preserve"> </w:t>
            </w:r>
            <w:r w:rsidRPr="002E0AD0">
              <w:rPr>
                <w:rFonts w:ascii="Calibri" w:eastAsia="MS UI Gothic" w:hAnsi="Calibri" w:cs="Calibri"/>
                <w:sz w:val="20"/>
                <w:szCs w:val="20"/>
              </w:rPr>
              <w:t xml:space="preserve">and testing appropriateness and </w:t>
            </w:r>
            <w:proofErr w:type="gramStart"/>
            <w:r w:rsidRPr="002E0AD0">
              <w:rPr>
                <w:rFonts w:ascii="Calibri" w:eastAsia="MS UI Gothic" w:hAnsi="Calibri" w:cs="Calibri"/>
                <w:sz w:val="20"/>
                <w:szCs w:val="20"/>
              </w:rPr>
              <w:t>effective</w:t>
            </w:r>
            <w:proofErr w:type="gramEnd"/>
            <w:r w:rsidRPr="002E0AD0">
              <w:rPr>
                <w:rFonts w:ascii="Calibri" w:eastAsia="MS UI Gothic" w:hAnsi="Calibri" w:cs="Calibri"/>
                <w:sz w:val="20"/>
                <w:szCs w:val="20"/>
              </w:rPr>
              <w:t xml:space="preserve"> of the Group’s IT general control system and its internal controls with respect to the cycle of revenue from service. </w:t>
            </w:r>
          </w:p>
          <w:p w14:paraId="41890756" w14:textId="55204A59" w:rsidR="0022689A" w:rsidRPr="006369A3" w:rsidRDefault="0022689A" w:rsidP="00135DD2">
            <w:pPr>
              <w:numPr>
                <w:ilvl w:val="0"/>
                <w:numId w:val="24"/>
              </w:num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overflowPunct w:val="0"/>
              <w:autoSpaceDE w:val="0"/>
              <w:autoSpaceDN w:val="0"/>
              <w:adjustRightInd w:val="0"/>
              <w:spacing w:line="240" w:lineRule="auto"/>
              <w:ind w:left="340" w:right="33" w:hanging="322"/>
              <w:contextualSpacing/>
              <w:jc w:val="thaiDistribute"/>
              <w:textAlignment w:val="baseline"/>
              <w:rPr>
                <w:rFonts w:ascii="Calibri" w:eastAsia="MS UI Gothic" w:hAnsi="Calibri" w:cs="Calibri"/>
                <w:spacing w:val="-4"/>
                <w:sz w:val="20"/>
                <w:szCs w:val="20"/>
              </w:rPr>
            </w:pPr>
            <w:r w:rsidRPr="006369A3">
              <w:rPr>
                <w:rFonts w:ascii="Calibri" w:eastAsia="MS UI Gothic" w:hAnsi="Calibri" w:cs="Calibri"/>
                <w:spacing w:val="-6"/>
                <w:sz w:val="20"/>
                <w:szCs w:val="20"/>
              </w:rPr>
              <w:t>On a sampling basis, examining supporting documents for actual sales transactions occurred during the year and near the end of the accounting period to assure the occurrence and correctness complies with the conditions identified and accounting policies of revenue recognition of service</w:t>
            </w:r>
            <w:r w:rsidRPr="006369A3">
              <w:rPr>
                <w:rFonts w:ascii="Calibri" w:eastAsia="MS UI Gothic" w:hAnsi="Calibri" w:cs="Calibri"/>
                <w:spacing w:val="-4"/>
                <w:sz w:val="20"/>
                <w:szCs w:val="20"/>
              </w:rPr>
              <w:t>.</w:t>
            </w:r>
          </w:p>
          <w:p w14:paraId="75D6B337" w14:textId="77777777" w:rsidR="0022689A" w:rsidRPr="002E0AD0" w:rsidRDefault="0022689A" w:rsidP="00135DD2">
            <w:pPr>
              <w:numPr>
                <w:ilvl w:val="0"/>
                <w:numId w:val="24"/>
              </w:num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overflowPunct w:val="0"/>
              <w:autoSpaceDE w:val="0"/>
              <w:autoSpaceDN w:val="0"/>
              <w:adjustRightInd w:val="0"/>
              <w:spacing w:line="240" w:lineRule="auto"/>
              <w:ind w:left="340" w:right="33" w:hanging="322"/>
              <w:contextualSpacing/>
              <w:jc w:val="thaiDistribute"/>
              <w:textAlignment w:val="baseline"/>
              <w:rPr>
                <w:rFonts w:ascii="Calibri" w:eastAsia="MS UI Gothic" w:hAnsi="Calibri" w:cs="Calibri"/>
                <w:sz w:val="20"/>
                <w:szCs w:val="20"/>
              </w:rPr>
            </w:pPr>
            <w:r w:rsidRPr="002E0AD0">
              <w:rPr>
                <w:rFonts w:ascii="Calibri" w:eastAsia="MS UI Gothic" w:hAnsi="Calibri" w:cs="Calibri"/>
                <w:sz w:val="20"/>
                <w:szCs w:val="20"/>
              </w:rPr>
              <w:t xml:space="preserve">Reviewing the appropriateness of credit notes </w:t>
            </w:r>
            <w:proofErr w:type="gramStart"/>
            <w:r w:rsidRPr="002E0AD0">
              <w:rPr>
                <w:rFonts w:ascii="Calibri" w:eastAsia="MS UI Gothic" w:hAnsi="Calibri" w:cs="Calibri"/>
                <w:sz w:val="20"/>
                <w:szCs w:val="20"/>
              </w:rPr>
              <w:t>of</w:t>
            </w:r>
            <w:proofErr w:type="gramEnd"/>
            <w:r w:rsidRPr="002E0AD0">
              <w:rPr>
                <w:rFonts w:ascii="Calibri" w:eastAsia="MS UI Gothic" w:hAnsi="Calibri" w:cs="Calibri"/>
                <w:sz w:val="20"/>
                <w:szCs w:val="20"/>
              </w:rPr>
              <w:t xml:space="preserve"> service business which the Group issued after the end of year.</w:t>
            </w:r>
          </w:p>
          <w:p w14:paraId="0669B488" w14:textId="77777777" w:rsidR="0022689A" w:rsidRPr="002E0AD0" w:rsidRDefault="0022689A" w:rsidP="00135DD2">
            <w:pPr>
              <w:numPr>
                <w:ilvl w:val="0"/>
                <w:numId w:val="24"/>
              </w:num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overflowPunct w:val="0"/>
              <w:autoSpaceDE w:val="0"/>
              <w:autoSpaceDN w:val="0"/>
              <w:adjustRightInd w:val="0"/>
              <w:spacing w:line="240" w:lineRule="auto"/>
              <w:ind w:left="340" w:right="33" w:hanging="322"/>
              <w:contextualSpacing/>
              <w:jc w:val="thaiDistribute"/>
              <w:textAlignment w:val="baseline"/>
              <w:rPr>
                <w:rFonts w:ascii="Calibri" w:eastAsia="MS UI Gothic" w:hAnsi="Calibri" w:cs="Calibri"/>
                <w:sz w:val="20"/>
                <w:szCs w:val="20"/>
              </w:rPr>
            </w:pPr>
            <w:r w:rsidRPr="002E0AD0">
              <w:rPr>
                <w:rFonts w:ascii="Calibri" w:eastAsia="MS UI Gothic" w:hAnsi="Calibri" w:cs="Calibri"/>
                <w:sz w:val="20"/>
                <w:szCs w:val="20"/>
              </w:rPr>
              <w:t>Performing cut-off near and after the end of year.</w:t>
            </w:r>
          </w:p>
          <w:p w14:paraId="537437F2" w14:textId="19D0520F" w:rsidR="0022689A" w:rsidRPr="002E0AD0" w:rsidRDefault="0022689A" w:rsidP="002C23BA">
            <w:pPr>
              <w:numPr>
                <w:ilvl w:val="0"/>
                <w:numId w:val="24"/>
              </w:num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overflowPunct w:val="0"/>
              <w:autoSpaceDE w:val="0"/>
              <w:autoSpaceDN w:val="0"/>
              <w:adjustRightInd w:val="0"/>
              <w:spacing w:line="240" w:lineRule="auto"/>
              <w:ind w:left="340" w:right="33" w:hanging="322"/>
              <w:contextualSpacing/>
              <w:jc w:val="thaiDistribute"/>
              <w:textAlignment w:val="baseline"/>
              <w:rPr>
                <w:rFonts w:ascii="Calibri" w:eastAsia="MS UI Gothic" w:hAnsi="Calibri" w:cs="Calibri"/>
                <w:sz w:val="20"/>
                <w:szCs w:val="20"/>
              </w:rPr>
            </w:pPr>
            <w:r w:rsidRPr="002E0AD0">
              <w:rPr>
                <w:rFonts w:ascii="Calibri" w:eastAsia="MS UI Gothic" w:hAnsi="Calibri" w:cs="Calibri"/>
                <w:sz w:val="20"/>
                <w:szCs w:val="20"/>
              </w:rPr>
              <w:t>Performing analytical review procedures on disaggregated data of revenue from service to detect possible irregularities in sales transactions of revenue from service</w:t>
            </w:r>
            <w:r w:rsidR="002C23BA">
              <w:rPr>
                <w:rFonts w:ascii="Calibri" w:eastAsia="MS UI Gothic" w:hAnsi="Calibri" w:cs="Calibri"/>
                <w:sz w:val="20"/>
                <w:szCs w:val="20"/>
              </w:rPr>
              <w:t xml:space="preserve"> </w:t>
            </w:r>
            <w:r w:rsidRPr="002E0AD0">
              <w:rPr>
                <w:rFonts w:ascii="Calibri" w:eastAsia="MS UI Gothic" w:hAnsi="Calibri" w:cs="Calibri"/>
                <w:sz w:val="20"/>
                <w:szCs w:val="20"/>
              </w:rPr>
              <w:t xml:space="preserve">throughout the </w:t>
            </w:r>
            <w:proofErr w:type="gramStart"/>
            <w:r w:rsidRPr="002E0AD0">
              <w:rPr>
                <w:rFonts w:ascii="Calibri" w:eastAsia="MS UI Gothic" w:hAnsi="Calibri" w:cs="Calibri"/>
                <w:sz w:val="20"/>
                <w:szCs w:val="20"/>
              </w:rPr>
              <w:t>period, and</w:t>
            </w:r>
            <w:proofErr w:type="gramEnd"/>
            <w:r w:rsidRPr="002E0AD0">
              <w:rPr>
                <w:rFonts w:ascii="Calibri" w:eastAsia="MS UI Gothic" w:hAnsi="Calibri" w:cs="Calibri"/>
                <w:sz w:val="20"/>
                <w:szCs w:val="20"/>
              </w:rPr>
              <w:t xml:space="preserve"> </w:t>
            </w:r>
            <w:proofErr w:type="gramStart"/>
            <w:r w:rsidRPr="002E0AD0">
              <w:rPr>
                <w:rFonts w:ascii="Calibri" w:eastAsia="MS UI Gothic" w:hAnsi="Calibri" w:cs="Calibri"/>
                <w:sz w:val="20"/>
                <w:szCs w:val="20"/>
              </w:rPr>
              <w:t>examine</w:t>
            </w:r>
            <w:proofErr w:type="gramEnd"/>
            <w:r w:rsidRPr="002E0AD0">
              <w:rPr>
                <w:rFonts w:ascii="Calibri" w:eastAsia="MS UI Gothic" w:hAnsi="Calibri" w:cs="Calibri"/>
                <w:sz w:val="20"/>
                <w:szCs w:val="20"/>
              </w:rPr>
              <w:t xml:space="preserve"> particularly for accounting entries made through journal vouchers.     </w:t>
            </w:r>
          </w:p>
          <w:p w14:paraId="44E871BC" w14:textId="77777777" w:rsidR="0022689A" w:rsidRPr="002E0AD0" w:rsidRDefault="0022689A" w:rsidP="00135DD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overflowPunct w:val="0"/>
              <w:autoSpaceDE w:val="0"/>
              <w:autoSpaceDN w:val="0"/>
              <w:adjustRightInd w:val="0"/>
              <w:spacing w:line="240" w:lineRule="auto"/>
              <w:ind w:left="340" w:right="33"/>
              <w:contextualSpacing/>
              <w:jc w:val="thaiDistribute"/>
              <w:textAlignment w:val="baseline"/>
              <w:rPr>
                <w:rFonts w:ascii="Calibri" w:eastAsia="MS UI Gothic" w:hAnsi="Calibri" w:cs="Calibri"/>
                <w:sz w:val="20"/>
                <w:szCs w:val="20"/>
              </w:rPr>
            </w:pPr>
          </w:p>
        </w:tc>
      </w:tr>
      <w:tr w:rsidR="0022689A" w:rsidRPr="002E0AD0" w14:paraId="144A5D23" w14:textId="77777777" w:rsidTr="00135DD2">
        <w:tc>
          <w:tcPr>
            <w:tcW w:w="4452" w:type="dxa"/>
            <w:tcBorders>
              <w:top w:val="single" w:sz="4" w:space="0" w:color="auto"/>
            </w:tcBorders>
          </w:tcPr>
          <w:p w14:paraId="738610EB" w14:textId="77777777" w:rsidR="0022689A" w:rsidRPr="002E0AD0" w:rsidRDefault="0022689A" w:rsidP="00902FAE">
            <w:pPr>
              <w:spacing w:line="240" w:lineRule="auto"/>
              <w:jc w:val="thaiDistribute"/>
              <w:outlineLvl w:val="0"/>
              <w:rPr>
                <w:rFonts w:ascii="Calibri" w:eastAsia="MS UI Gothic" w:hAnsi="Calibri" w:cs="Calibri"/>
                <w:b/>
                <w:bCs/>
                <w:i/>
                <w:kern w:val="20"/>
                <w:sz w:val="20"/>
                <w:szCs w:val="20"/>
                <w:lang w:bidi="he-IL"/>
              </w:rPr>
            </w:pPr>
          </w:p>
          <w:p w14:paraId="637805D2" w14:textId="77777777" w:rsidR="0022689A" w:rsidRPr="002E0AD0" w:rsidRDefault="0022689A" w:rsidP="00902FAE">
            <w:pPr>
              <w:spacing w:line="240" w:lineRule="auto"/>
              <w:jc w:val="thaiDistribute"/>
              <w:outlineLvl w:val="0"/>
              <w:rPr>
                <w:rFonts w:ascii="Calibri" w:eastAsia="MS UI Gothic" w:hAnsi="Calibri" w:cs="Calibri"/>
                <w:b/>
                <w:bCs/>
                <w:i/>
                <w:kern w:val="20"/>
                <w:sz w:val="20"/>
                <w:szCs w:val="20"/>
                <w:lang w:bidi="he-IL"/>
              </w:rPr>
            </w:pPr>
          </w:p>
          <w:p w14:paraId="463F29E8" w14:textId="77777777" w:rsidR="0022689A" w:rsidRPr="002E0AD0" w:rsidRDefault="0022689A" w:rsidP="00902FAE">
            <w:pPr>
              <w:spacing w:line="240" w:lineRule="auto"/>
              <w:jc w:val="thaiDistribute"/>
              <w:outlineLvl w:val="0"/>
              <w:rPr>
                <w:rFonts w:ascii="Calibri" w:eastAsia="MS UI Gothic" w:hAnsi="Calibri" w:cs="Calibri"/>
                <w:b/>
                <w:bCs/>
                <w:i/>
                <w:kern w:val="20"/>
                <w:sz w:val="20"/>
                <w:szCs w:val="20"/>
                <w:lang w:bidi="he-IL"/>
              </w:rPr>
            </w:pPr>
          </w:p>
          <w:p w14:paraId="3B7B4B86" w14:textId="77777777" w:rsidR="0022689A" w:rsidRPr="002E0AD0" w:rsidRDefault="0022689A" w:rsidP="00902FAE">
            <w:pPr>
              <w:spacing w:line="240" w:lineRule="auto"/>
              <w:jc w:val="thaiDistribute"/>
              <w:outlineLvl w:val="0"/>
              <w:rPr>
                <w:rFonts w:ascii="Calibri" w:eastAsia="MS UI Gothic" w:hAnsi="Calibri" w:cs="Calibri"/>
                <w:b/>
                <w:bCs/>
                <w:i/>
                <w:kern w:val="20"/>
                <w:sz w:val="20"/>
                <w:szCs w:val="20"/>
                <w:lang w:bidi="he-IL"/>
              </w:rPr>
            </w:pPr>
          </w:p>
          <w:p w14:paraId="3A0FF5F2" w14:textId="77777777" w:rsidR="0022689A" w:rsidRPr="002E0AD0" w:rsidRDefault="0022689A" w:rsidP="00902FAE">
            <w:pPr>
              <w:spacing w:line="240" w:lineRule="auto"/>
              <w:jc w:val="thaiDistribute"/>
              <w:outlineLvl w:val="0"/>
              <w:rPr>
                <w:rFonts w:ascii="Calibri" w:eastAsia="MS UI Gothic" w:hAnsi="Calibri" w:cs="Calibri"/>
                <w:b/>
                <w:bCs/>
                <w:i/>
                <w:kern w:val="20"/>
                <w:sz w:val="20"/>
                <w:szCs w:val="20"/>
                <w:lang w:bidi="he-IL"/>
              </w:rPr>
            </w:pPr>
          </w:p>
          <w:p w14:paraId="5630AD66" w14:textId="77777777" w:rsidR="0022689A" w:rsidRPr="002E0AD0" w:rsidRDefault="0022689A" w:rsidP="00902FAE">
            <w:pPr>
              <w:spacing w:line="240" w:lineRule="auto"/>
              <w:jc w:val="thaiDistribute"/>
              <w:outlineLvl w:val="0"/>
              <w:rPr>
                <w:rFonts w:ascii="Calibri" w:eastAsia="MS UI Gothic" w:hAnsi="Calibri" w:cs="Calibri"/>
                <w:b/>
                <w:bCs/>
                <w:i/>
                <w:kern w:val="20"/>
                <w:sz w:val="20"/>
                <w:szCs w:val="20"/>
                <w:lang w:bidi="he-IL"/>
              </w:rPr>
            </w:pPr>
          </w:p>
          <w:p w14:paraId="61829076" w14:textId="77777777" w:rsidR="0022689A" w:rsidRPr="002E0AD0" w:rsidRDefault="0022689A" w:rsidP="00902FAE">
            <w:pPr>
              <w:spacing w:line="240" w:lineRule="auto"/>
              <w:jc w:val="thaiDistribute"/>
              <w:outlineLvl w:val="0"/>
              <w:rPr>
                <w:rFonts w:ascii="Calibri" w:eastAsia="MS UI Gothic" w:hAnsi="Calibri" w:cs="Calibri"/>
                <w:b/>
                <w:bCs/>
                <w:i/>
                <w:kern w:val="20"/>
                <w:sz w:val="20"/>
                <w:szCs w:val="20"/>
                <w:lang w:bidi="he-IL"/>
              </w:rPr>
            </w:pPr>
          </w:p>
          <w:p w14:paraId="2BA226A1" w14:textId="77777777" w:rsidR="0022689A" w:rsidRPr="002E0AD0" w:rsidRDefault="0022689A" w:rsidP="00902FAE">
            <w:pPr>
              <w:spacing w:line="240" w:lineRule="auto"/>
              <w:jc w:val="thaiDistribute"/>
              <w:outlineLvl w:val="0"/>
              <w:rPr>
                <w:rFonts w:ascii="Calibri" w:eastAsia="MS UI Gothic" w:hAnsi="Calibri" w:cs="Calibri"/>
                <w:b/>
                <w:bCs/>
                <w:i/>
                <w:kern w:val="20"/>
                <w:sz w:val="20"/>
                <w:szCs w:val="20"/>
                <w:lang w:bidi="he-IL"/>
              </w:rPr>
            </w:pPr>
          </w:p>
          <w:p w14:paraId="17AD93B2" w14:textId="77777777" w:rsidR="0022689A" w:rsidRPr="002E0AD0" w:rsidRDefault="0022689A" w:rsidP="00902FAE">
            <w:pPr>
              <w:spacing w:line="240" w:lineRule="auto"/>
              <w:jc w:val="thaiDistribute"/>
              <w:outlineLvl w:val="0"/>
              <w:rPr>
                <w:rFonts w:ascii="Calibri" w:eastAsia="MS UI Gothic" w:hAnsi="Calibri" w:cs="Calibri"/>
                <w:b/>
                <w:bCs/>
                <w:i/>
                <w:kern w:val="20"/>
                <w:sz w:val="20"/>
                <w:szCs w:val="20"/>
                <w:lang w:bidi="he-IL"/>
              </w:rPr>
            </w:pPr>
          </w:p>
          <w:p w14:paraId="0DE4B5B7" w14:textId="77777777" w:rsidR="0022689A" w:rsidRPr="002E0AD0" w:rsidRDefault="0022689A" w:rsidP="00902FAE">
            <w:pPr>
              <w:spacing w:line="240" w:lineRule="auto"/>
              <w:jc w:val="thaiDistribute"/>
              <w:outlineLvl w:val="0"/>
              <w:rPr>
                <w:rFonts w:ascii="Calibri" w:eastAsia="MS UI Gothic" w:hAnsi="Calibri" w:cs="Calibri"/>
                <w:b/>
                <w:bCs/>
                <w:i/>
                <w:kern w:val="20"/>
                <w:sz w:val="20"/>
                <w:szCs w:val="20"/>
                <w:lang w:bidi="he-IL"/>
              </w:rPr>
            </w:pPr>
          </w:p>
          <w:p w14:paraId="66204FF1" w14:textId="77777777" w:rsidR="0022689A" w:rsidRPr="002E0AD0" w:rsidRDefault="0022689A" w:rsidP="00902FAE">
            <w:pPr>
              <w:spacing w:line="240" w:lineRule="auto"/>
              <w:jc w:val="thaiDistribute"/>
              <w:outlineLvl w:val="0"/>
              <w:rPr>
                <w:rFonts w:ascii="Calibri" w:eastAsia="MS UI Gothic" w:hAnsi="Calibri" w:cs="Calibri"/>
                <w:b/>
                <w:bCs/>
                <w:i/>
                <w:kern w:val="20"/>
                <w:sz w:val="20"/>
                <w:szCs w:val="20"/>
                <w:lang w:bidi="he-IL"/>
              </w:rPr>
            </w:pPr>
          </w:p>
          <w:p w14:paraId="2DBF0D7D" w14:textId="77777777" w:rsidR="0022689A" w:rsidRPr="002E0AD0" w:rsidRDefault="0022689A" w:rsidP="00902FAE">
            <w:pPr>
              <w:spacing w:line="240" w:lineRule="auto"/>
              <w:jc w:val="thaiDistribute"/>
              <w:outlineLvl w:val="0"/>
              <w:rPr>
                <w:rFonts w:ascii="Calibri" w:eastAsia="MS UI Gothic" w:hAnsi="Calibri" w:cs="Calibri"/>
                <w:b/>
                <w:bCs/>
                <w:i/>
                <w:kern w:val="20"/>
                <w:sz w:val="20"/>
                <w:szCs w:val="20"/>
                <w:lang w:bidi="he-IL"/>
              </w:rPr>
            </w:pPr>
          </w:p>
          <w:p w14:paraId="6B62F1B3" w14:textId="77777777" w:rsidR="0022689A" w:rsidRPr="002E0AD0" w:rsidRDefault="0022689A" w:rsidP="00902FAE">
            <w:pPr>
              <w:spacing w:line="240" w:lineRule="auto"/>
              <w:jc w:val="thaiDistribute"/>
              <w:outlineLvl w:val="0"/>
              <w:rPr>
                <w:rFonts w:ascii="Calibri" w:eastAsia="MS UI Gothic" w:hAnsi="Calibri" w:cs="Calibri"/>
                <w:b/>
                <w:bCs/>
                <w:i/>
                <w:kern w:val="20"/>
                <w:sz w:val="20"/>
                <w:szCs w:val="20"/>
                <w:lang w:bidi="he-IL"/>
              </w:rPr>
            </w:pPr>
          </w:p>
          <w:p w14:paraId="02F2C34E" w14:textId="77777777" w:rsidR="0022689A" w:rsidRPr="002E0AD0" w:rsidRDefault="0022689A" w:rsidP="00902FAE">
            <w:pPr>
              <w:spacing w:line="240" w:lineRule="auto"/>
              <w:jc w:val="thaiDistribute"/>
              <w:outlineLvl w:val="0"/>
              <w:rPr>
                <w:rFonts w:ascii="Calibri" w:eastAsia="MS UI Gothic" w:hAnsi="Calibri" w:cs="Calibri"/>
                <w:b/>
                <w:bCs/>
                <w:i/>
                <w:kern w:val="20"/>
                <w:sz w:val="20"/>
                <w:szCs w:val="20"/>
                <w:lang w:bidi="he-IL"/>
              </w:rPr>
            </w:pPr>
          </w:p>
          <w:p w14:paraId="680A4E5D" w14:textId="77777777" w:rsidR="0022689A" w:rsidRPr="002E0AD0" w:rsidRDefault="0022689A" w:rsidP="00902FAE">
            <w:pPr>
              <w:spacing w:line="240" w:lineRule="auto"/>
              <w:jc w:val="thaiDistribute"/>
              <w:outlineLvl w:val="0"/>
              <w:rPr>
                <w:rFonts w:ascii="Calibri" w:eastAsia="MS UI Gothic" w:hAnsi="Calibri" w:cs="Calibri"/>
                <w:b/>
                <w:bCs/>
                <w:i/>
                <w:kern w:val="20"/>
                <w:sz w:val="20"/>
                <w:szCs w:val="20"/>
                <w:lang w:bidi="he-IL"/>
              </w:rPr>
            </w:pPr>
          </w:p>
          <w:p w14:paraId="19219836" w14:textId="77777777" w:rsidR="0022689A" w:rsidRPr="002E0AD0" w:rsidRDefault="0022689A" w:rsidP="00902FAE">
            <w:pPr>
              <w:spacing w:line="240" w:lineRule="auto"/>
              <w:jc w:val="thaiDistribute"/>
              <w:outlineLvl w:val="0"/>
              <w:rPr>
                <w:rFonts w:ascii="Calibri" w:eastAsia="MS UI Gothic" w:hAnsi="Calibri" w:cs="Calibri"/>
                <w:b/>
                <w:bCs/>
                <w:i/>
                <w:kern w:val="20"/>
                <w:sz w:val="20"/>
                <w:szCs w:val="20"/>
                <w:lang w:bidi="he-IL"/>
              </w:rPr>
            </w:pPr>
          </w:p>
          <w:p w14:paraId="296FEF7D" w14:textId="77777777" w:rsidR="0022689A" w:rsidRPr="002E0AD0" w:rsidRDefault="0022689A" w:rsidP="00902FAE">
            <w:pPr>
              <w:spacing w:line="240" w:lineRule="auto"/>
              <w:jc w:val="thaiDistribute"/>
              <w:outlineLvl w:val="0"/>
              <w:rPr>
                <w:rFonts w:ascii="Calibri" w:eastAsia="MS UI Gothic" w:hAnsi="Calibri" w:cs="Calibri"/>
                <w:b/>
                <w:bCs/>
                <w:i/>
                <w:kern w:val="20"/>
                <w:sz w:val="20"/>
                <w:szCs w:val="20"/>
                <w:lang w:bidi="he-IL"/>
              </w:rPr>
            </w:pPr>
          </w:p>
          <w:p w14:paraId="7194DBDC" w14:textId="77777777" w:rsidR="0022689A" w:rsidRPr="002E0AD0" w:rsidRDefault="0022689A" w:rsidP="00902FAE">
            <w:pPr>
              <w:spacing w:line="240" w:lineRule="auto"/>
              <w:jc w:val="thaiDistribute"/>
              <w:outlineLvl w:val="0"/>
              <w:rPr>
                <w:rFonts w:ascii="Calibri" w:eastAsia="MS UI Gothic" w:hAnsi="Calibri" w:cs="Calibri"/>
                <w:b/>
                <w:bCs/>
                <w:i/>
                <w:kern w:val="20"/>
                <w:sz w:val="20"/>
                <w:szCs w:val="20"/>
                <w:lang w:bidi="he-IL"/>
              </w:rPr>
            </w:pPr>
          </w:p>
          <w:p w14:paraId="769D0D3C" w14:textId="77777777" w:rsidR="0022689A" w:rsidRDefault="0022689A" w:rsidP="00902FAE">
            <w:pPr>
              <w:spacing w:line="240" w:lineRule="auto"/>
              <w:jc w:val="thaiDistribute"/>
              <w:outlineLvl w:val="0"/>
              <w:rPr>
                <w:rFonts w:ascii="Calibri" w:eastAsia="MS UI Gothic" w:hAnsi="Calibri" w:cs="Calibri"/>
                <w:b/>
                <w:bCs/>
                <w:i/>
                <w:kern w:val="20"/>
                <w:sz w:val="20"/>
                <w:szCs w:val="20"/>
                <w:lang w:bidi="he-IL"/>
              </w:rPr>
            </w:pPr>
          </w:p>
          <w:p w14:paraId="54CD245A" w14:textId="77777777" w:rsidR="0022689A" w:rsidRDefault="0022689A" w:rsidP="00902FAE">
            <w:pPr>
              <w:spacing w:line="240" w:lineRule="auto"/>
              <w:jc w:val="thaiDistribute"/>
              <w:outlineLvl w:val="0"/>
              <w:rPr>
                <w:rFonts w:ascii="Calibri" w:eastAsia="MS UI Gothic" w:hAnsi="Calibri" w:cs="Calibri"/>
                <w:b/>
                <w:bCs/>
                <w:i/>
                <w:kern w:val="20"/>
                <w:sz w:val="20"/>
                <w:szCs w:val="20"/>
                <w:lang w:bidi="he-IL"/>
              </w:rPr>
            </w:pPr>
          </w:p>
          <w:p w14:paraId="1231BE67" w14:textId="77777777" w:rsidR="006369A3" w:rsidRPr="002E0AD0" w:rsidRDefault="006369A3" w:rsidP="00902FAE">
            <w:pPr>
              <w:spacing w:line="240" w:lineRule="auto"/>
              <w:jc w:val="thaiDistribute"/>
              <w:outlineLvl w:val="0"/>
              <w:rPr>
                <w:rFonts w:ascii="Calibri" w:eastAsia="MS UI Gothic" w:hAnsi="Calibri" w:cs="Calibri"/>
                <w:b/>
                <w:bCs/>
                <w:i/>
                <w:kern w:val="20"/>
                <w:sz w:val="20"/>
                <w:szCs w:val="20"/>
                <w:lang w:bidi="he-IL"/>
              </w:rPr>
            </w:pPr>
          </w:p>
          <w:p w14:paraId="36FEB5B0" w14:textId="77777777" w:rsidR="0022689A" w:rsidRPr="002E0AD0" w:rsidRDefault="0022689A" w:rsidP="00902FAE">
            <w:pPr>
              <w:spacing w:line="240" w:lineRule="auto"/>
              <w:jc w:val="thaiDistribute"/>
              <w:outlineLvl w:val="0"/>
              <w:rPr>
                <w:rFonts w:ascii="Calibri" w:eastAsia="MS UI Gothic" w:hAnsi="Calibri" w:cs="Calibri"/>
                <w:b/>
                <w:bCs/>
                <w:i/>
                <w:kern w:val="20"/>
                <w:sz w:val="20"/>
                <w:szCs w:val="20"/>
                <w:lang w:bidi="he-IL"/>
              </w:rPr>
            </w:pPr>
          </w:p>
          <w:p w14:paraId="30D7AA69" w14:textId="77777777" w:rsidR="0022689A" w:rsidRDefault="0022689A" w:rsidP="00902FAE">
            <w:pPr>
              <w:spacing w:line="240" w:lineRule="auto"/>
              <w:jc w:val="thaiDistribute"/>
              <w:outlineLvl w:val="0"/>
              <w:rPr>
                <w:rFonts w:ascii="Calibri" w:eastAsia="MS UI Gothic" w:hAnsi="Calibri" w:cs="Calibri"/>
                <w:b/>
                <w:bCs/>
                <w:i/>
                <w:kern w:val="20"/>
                <w:sz w:val="20"/>
                <w:szCs w:val="20"/>
                <w:lang w:bidi="he-IL"/>
              </w:rPr>
            </w:pPr>
          </w:p>
          <w:p w14:paraId="30C02532" w14:textId="77777777" w:rsidR="00395C03" w:rsidRDefault="00395C03" w:rsidP="00902FAE">
            <w:pPr>
              <w:spacing w:line="240" w:lineRule="auto"/>
              <w:jc w:val="thaiDistribute"/>
              <w:outlineLvl w:val="0"/>
              <w:rPr>
                <w:rFonts w:ascii="Calibri" w:eastAsia="MS UI Gothic" w:hAnsi="Calibri" w:cs="Calibri"/>
                <w:b/>
                <w:bCs/>
                <w:i/>
                <w:kern w:val="20"/>
                <w:sz w:val="20"/>
                <w:szCs w:val="20"/>
                <w:lang w:bidi="he-IL"/>
              </w:rPr>
            </w:pPr>
          </w:p>
          <w:p w14:paraId="31AB0440" w14:textId="77777777" w:rsidR="00395C03" w:rsidRPr="002E0AD0" w:rsidRDefault="00395C03" w:rsidP="00902FAE">
            <w:pPr>
              <w:spacing w:line="240" w:lineRule="auto"/>
              <w:jc w:val="thaiDistribute"/>
              <w:outlineLvl w:val="0"/>
              <w:rPr>
                <w:rFonts w:ascii="Calibri" w:eastAsia="MS UI Gothic" w:hAnsi="Calibri" w:cs="Calibri"/>
                <w:b/>
                <w:bCs/>
                <w:i/>
                <w:kern w:val="20"/>
                <w:sz w:val="20"/>
                <w:szCs w:val="20"/>
                <w:lang w:bidi="he-IL"/>
              </w:rPr>
            </w:pPr>
          </w:p>
          <w:p w14:paraId="7196D064" w14:textId="77777777" w:rsidR="00B44DEA" w:rsidRPr="002E0AD0" w:rsidRDefault="00B44DEA" w:rsidP="00902FAE">
            <w:pPr>
              <w:spacing w:line="240" w:lineRule="auto"/>
              <w:jc w:val="thaiDistribute"/>
              <w:outlineLvl w:val="0"/>
              <w:rPr>
                <w:rFonts w:ascii="Calibri" w:eastAsia="MS UI Gothic" w:hAnsi="Calibri" w:cs="Calibri"/>
                <w:b/>
                <w:bCs/>
                <w:i/>
                <w:kern w:val="20"/>
                <w:sz w:val="20"/>
                <w:szCs w:val="20"/>
                <w:lang w:bidi="he-IL"/>
              </w:rPr>
            </w:pPr>
          </w:p>
        </w:tc>
        <w:tc>
          <w:tcPr>
            <w:tcW w:w="236" w:type="dxa"/>
            <w:tcBorders>
              <w:top w:val="single" w:sz="4" w:space="0" w:color="auto"/>
            </w:tcBorders>
          </w:tcPr>
          <w:p w14:paraId="34FF1C98" w14:textId="77777777" w:rsidR="0022689A" w:rsidRPr="002E0AD0" w:rsidRDefault="0022689A" w:rsidP="006E6D81">
            <w:pPr>
              <w:spacing w:line="240" w:lineRule="auto"/>
              <w:jc w:val="thaiDistribute"/>
              <w:outlineLvl w:val="0"/>
              <w:rPr>
                <w:rFonts w:ascii="Calibri" w:eastAsia="MS UI Gothic" w:hAnsi="Calibri" w:cs="Calibri"/>
                <w:b/>
                <w:bCs/>
                <w:i/>
                <w:kern w:val="20"/>
                <w:sz w:val="20"/>
                <w:szCs w:val="20"/>
                <w:lang w:bidi="he-IL"/>
              </w:rPr>
            </w:pPr>
          </w:p>
        </w:tc>
        <w:tc>
          <w:tcPr>
            <w:tcW w:w="4943" w:type="dxa"/>
            <w:tcBorders>
              <w:top w:val="single" w:sz="4" w:space="0" w:color="auto"/>
            </w:tcBorders>
          </w:tcPr>
          <w:p w14:paraId="6D072C0D" w14:textId="77777777" w:rsidR="0022689A" w:rsidRPr="002E0AD0" w:rsidRDefault="0022689A" w:rsidP="006E6D81">
            <w:pPr>
              <w:spacing w:line="240" w:lineRule="auto"/>
              <w:jc w:val="thaiDistribute"/>
              <w:outlineLvl w:val="0"/>
              <w:rPr>
                <w:rFonts w:ascii="Calibri" w:eastAsia="MS UI Gothic" w:hAnsi="Calibri" w:cs="Calibri"/>
                <w:b/>
                <w:bCs/>
                <w:i/>
                <w:kern w:val="20"/>
                <w:sz w:val="20"/>
                <w:szCs w:val="20"/>
                <w:lang w:bidi="he-IL"/>
              </w:rPr>
            </w:pPr>
          </w:p>
        </w:tc>
      </w:tr>
      <w:tr w:rsidR="001700A7" w:rsidRPr="002E0AD0" w14:paraId="36F8D14C" w14:textId="77777777" w:rsidTr="00135DD2">
        <w:tc>
          <w:tcPr>
            <w:tcW w:w="4452" w:type="dxa"/>
            <w:tcBorders>
              <w:bottom w:val="single" w:sz="4" w:space="0" w:color="auto"/>
            </w:tcBorders>
          </w:tcPr>
          <w:p w14:paraId="4BD0D2DE" w14:textId="22B90E48" w:rsidR="001700A7" w:rsidRPr="002E0AD0" w:rsidRDefault="001700A7" w:rsidP="007B7BA5">
            <w:pPr>
              <w:spacing w:line="240" w:lineRule="auto"/>
              <w:jc w:val="thaiDistribute"/>
              <w:outlineLvl w:val="0"/>
              <w:rPr>
                <w:rFonts w:ascii="Calibri" w:eastAsia="MS UI Gothic" w:hAnsi="Calibri" w:cs="Calibri"/>
                <w:b/>
                <w:bCs/>
                <w:i/>
                <w:kern w:val="20"/>
                <w:sz w:val="20"/>
                <w:szCs w:val="20"/>
                <w:lang w:bidi="he-IL"/>
              </w:rPr>
            </w:pPr>
            <w:r w:rsidRPr="002E0AD0">
              <w:rPr>
                <w:rFonts w:ascii="Calibri" w:eastAsia="MS UI Gothic" w:hAnsi="Calibri" w:cs="Calibri"/>
                <w:b/>
                <w:bCs/>
                <w:i/>
                <w:kern w:val="20"/>
                <w:sz w:val="20"/>
                <w:szCs w:val="20"/>
                <w:lang w:bidi="he-IL"/>
              </w:rPr>
              <w:lastRenderedPageBreak/>
              <w:t>Net realizable value of real estate develo</w:t>
            </w:r>
            <w:r w:rsidR="009E740A" w:rsidRPr="002E0AD0">
              <w:rPr>
                <w:rFonts w:ascii="Calibri" w:eastAsia="MS UI Gothic" w:hAnsi="Calibri" w:cs="Calibri"/>
                <w:b/>
                <w:bCs/>
                <w:i/>
                <w:kern w:val="20"/>
                <w:sz w:val="20"/>
                <w:szCs w:val="20"/>
                <w:lang w:bidi="he-IL"/>
              </w:rPr>
              <w:t>pment costs</w:t>
            </w:r>
            <w:r w:rsidR="007E456D">
              <w:rPr>
                <w:rFonts w:ascii="Calibri" w:eastAsia="MS UI Gothic" w:hAnsi="Calibri" w:cs="Calibri"/>
                <w:b/>
                <w:bCs/>
                <w:i/>
                <w:kern w:val="20"/>
                <w:sz w:val="20"/>
                <w:szCs w:val="20"/>
                <w:lang w:bidi="he-IL"/>
              </w:rPr>
              <w:t xml:space="preserve">, </w:t>
            </w:r>
            <w:r w:rsidR="009E740A" w:rsidRPr="002E0AD0">
              <w:rPr>
                <w:rFonts w:ascii="Calibri" w:eastAsia="MS UI Gothic" w:hAnsi="Calibri" w:cs="Calibri"/>
                <w:b/>
                <w:bCs/>
                <w:i/>
                <w:kern w:val="20"/>
                <w:sz w:val="20"/>
                <w:szCs w:val="20"/>
                <w:lang w:bidi="he-IL"/>
              </w:rPr>
              <w:t xml:space="preserve">land </w:t>
            </w:r>
            <w:r w:rsidRPr="002E0AD0">
              <w:rPr>
                <w:rFonts w:ascii="Calibri" w:eastAsia="MS UI Gothic" w:hAnsi="Calibri" w:cs="Calibri"/>
                <w:b/>
                <w:bCs/>
                <w:i/>
                <w:kern w:val="20"/>
                <w:sz w:val="20"/>
                <w:szCs w:val="20"/>
                <w:lang w:bidi="he-IL"/>
              </w:rPr>
              <w:t>held for development</w:t>
            </w:r>
            <w:r w:rsidR="007E456D">
              <w:rPr>
                <w:rFonts w:ascii="Calibri" w:eastAsia="MS UI Gothic" w:hAnsi="Calibri" w:cs="Calibri"/>
                <w:b/>
                <w:bCs/>
                <w:i/>
                <w:kern w:val="20"/>
                <w:sz w:val="20"/>
                <w:szCs w:val="20"/>
                <w:lang w:bidi="he-IL"/>
              </w:rPr>
              <w:t xml:space="preserve"> and investment property</w:t>
            </w:r>
          </w:p>
          <w:p w14:paraId="48A21919" w14:textId="77777777" w:rsidR="001700A7" w:rsidRPr="002E0AD0" w:rsidRDefault="001700A7" w:rsidP="00902FAE">
            <w:pPr>
              <w:spacing w:line="240" w:lineRule="auto"/>
              <w:outlineLvl w:val="0"/>
              <w:rPr>
                <w:rFonts w:ascii="Calibri" w:eastAsia="MS UI Gothic" w:hAnsi="Calibri" w:cs="Calibri"/>
                <w:b/>
                <w:bCs/>
                <w:i/>
                <w:kern w:val="20"/>
                <w:sz w:val="20"/>
                <w:szCs w:val="20"/>
                <w:lang w:bidi="he-IL"/>
              </w:rPr>
            </w:pPr>
          </w:p>
          <w:p w14:paraId="24958549" w14:textId="604D293B" w:rsidR="001700A7" w:rsidRPr="002E0AD0" w:rsidRDefault="001700A7" w:rsidP="0075530F">
            <w:pPr>
              <w:pStyle w:val="ps-000-normal"/>
              <w:tabs>
                <w:tab w:val="left" w:pos="2113"/>
              </w:tabs>
              <w:spacing w:after="0"/>
              <w:ind w:right="72"/>
              <w:jc w:val="thaiDistribute"/>
              <w:rPr>
                <w:rFonts w:ascii="Calibri" w:eastAsia="MS UI Gothic" w:hAnsi="Calibri" w:cs="Calibri"/>
                <w:color w:val="auto"/>
              </w:rPr>
            </w:pPr>
            <w:r w:rsidRPr="002E0AD0">
              <w:rPr>
                <w:rFonts w:ascii="Calibri" w:eastAsia="MS UI Gothic" w:hAnsi="Calibri" w:cs="Calibri"/>
                <w:color w:val="auto"/>
              </w:rPr>
              <w:t>Estimating the net realizable value of real estate developme</w:t>
            </w:r>
            <w:r w:rsidR="009E740A" w:rsidRPr="002E0AD0">
              <w:rPr>
                <w:rFonts w:ascii="Calibri" w:eastAsia="MS UI Gothic" w:hAnsi="Calibri" w:cs="Calibri"/>
                <w:color w:val="auto"/>
              </w:rPr>
              <w:t>nt costs</w:t>
            </w:r>
            <w:r w:rsidR="007E456D">
              <w:rPr>
                <w:rFonts w:ascii="Calibri" w:eastAsia="MS UI Gothic" w:hAnsi="Calibri" w:cs="Calibri"/>
                <w:color w:val="auto"/>
              </w:rPr>
              <w:t xml:space="preserve">, </w:t>
            </w:r>
            <w:r w:rsidR="009E740A" w:rsidRPr="002E0AD0">
              <w:rPr>
                <w:rFonts w:ascii="Calibri" w:eastAsia="MS UI Gothic" w:hAnsi="Calibri" w:cs="Calibri"/>
                <w:color w:val="auto"/>
              </w:rPr>
              <w:t xml:space="preserve">land </w:t>
            </w:r>
            <w:r w:rsidRPr="002E0AD0">
              <w:rPr>
                <w:rFonts w:ascii="Calibri" w:eastAsia="MS UI Gothic" w:hAnsi="Calibri" w:cs="Calibri"/>
                <w:color w:val="auto"/>
              </w:rPr>
              <w:t>held for development</w:t>
            </w:r>
            <w:r w:rsidR="007E456D">
              <w:rPr>
                <w:rFonts w:ascii="Calibri" w:eastAsia="MS UI Gothic" w:hAnsi="Calibri" w:cs="Calibri"/>
                <w:color w:val="auto"/>
              </w:rPr>
              <w:t xml:space="preserve"> and </w:t>
            </w:r>
            <w:r w:rsidR="007E456D" w:rsidRPr="007E456D">
              <w:rPr>
                <w:rFonts w:ascii="Calibri" w:eastAsia="MS UI Gothic" w:hAnsi="Calibri" w:cs="Calibri"/>
                <w:iCs/>
                <w:kern w:val="20"/>
                <w:lang w:bidi="he-IL"/>
              </w:rPr>
              <w:t>investment property</w:t>
            </w:r>
            <w:r w:rsidR="007E456D">
              <w:rPr>
                <w:rFonts w:ascii="Calibri" w:eastAsia="MS UI Gothic" w:hAnsi="Calibri" w:cs="Calibri"/>
                <w:color w:val="auto"/>
              </w:rPr>
              <w:t xml:space="preserve"> </w:t>
            </w:r>
            <w:r w:rsidR="00307347" w:rsidRPr="002E0AD0">
              <w:rPr>
                <w:rFonts w:ascii="Calibri" w:eastAsia="MS UI Gothic" w:hAnsi="Calibri" w:cs="Calibri"/>
                <w:color w:val="auto"/>
              </w:rPr>
              <w:t xml:space="preserve">as described in Notes </w:t>
            </w:r>
            <w:r w:rsidR="00B318FC">
              <w:rPr>
                <w:rFonts w:ascii="Calibri" w:eastAsia="MS UI Gothic" w:hAnsi="Calibri" w:cstheme="minorBidi"/>
                <w:color w:val="auto"/>
              </w:rPr>
              <w:t>9</w:t>
            </w:r>
            <w:r w:rsidR="00BE4795">
              <w:rPr>
                <w:rFonts w:ascii="Calibri" w:eastAsia="MS UI Gothic" w:hAnsi="Calibri" w:cstheme="minorBidi"/>
                <w:color w:val="auto"/>
              </w:rPr>
              <w:t>,</w:t>
            </w:r>
            <w:r w:rsidR="00B318FC">
              <w:rPr>
                <w:rFonts w:ascii="Calibri" w:eastAsia="MS UI Gothic" w:hAnsi="Calibri" w:cstheme="minorBidi"/>
                <w:color w:val="auto"/>
              </w:rPr>
              <w:t xml:space="preserve"> 13</w:t>
            </w:r>
            <w:r w:rsidRPr="002E0AD0">
              <w:rPr>
                <w:rFonts w:ascii="Calibri" w:eastAsia="MS UI Gothic" w:hAnsi="Calibri" w:cs="Calibri"/>
                <w:color w:val="auto"/>
              </w:rPr>
              <w:t xml:space="preserve"> </w:t>
            </w:r>
            <w:r w:rsidR="00B318FC">
              <w:rPr>
                <w:rFonts w:ascii="Calibri" w:eastAsia="MS UI Gothic" w:hAnsi="Calibri" w:cs="Calibri"/>
                <w:color w:val="auto"/>
              </w:rPr>
              <w:t xml:space="preserve">   </w:t>
            </w:r>
            <w:r w:rsidR="007E456D">
              <w:rPr>
                <w:rFonts w:ascii="Calibri" w:eastAsia="MS UI Gothic" w:hAnsi="Calibri" w:cs="Calibri"/>
                <w:color w:val="auto"/>
              </w:rPr>
              <w:t xml:space="preserve">and </w:t>
            </w:r>
            <w:r w:rsidR="007E456D">
              <w:rPr>
                <w:rFonts w:ascii="Calibri" w:eastAsia="MS UI Gothic" w:hAnsi="Calibri" w:cstheme="minorBidi"/>
                <w:color w:val="auto"/>
              </w:rPr>
              <w:t>1</w:t>
            </w:r>
            <w:r w:rsidR="00B318FC">
              <w:rPr>
                <w:rFonts w:ascii="Calibri" w:eastAsia="MS UI Gothic" w:hAnsi="Calibri" w:cstheme="minorBidi"/>
                <w:color w:val="auto"/>
              </w:rPr>
              <w:t>4</w:t>
            </w:r>
            <w:r w:rsidR="007E456D">
              <w:rPr>
                <w:rFonts w:ascii="Calibri" w:eastAsia="MS UI Gothic" w:hAnsi="Calibri" w:cstheme="minorBidi"/>
                <w:color w:val="auto"/>
              </w:rPr>
              <w:t xml:space="preserve"> </w:t>
            </w:r>
            <w:r w:rsidRPr="002E0AD0">
              <w:rPr>
                <w:rFonts w:ascii="Calibri" w:eastAsia="MS UI Gothic" w:hAnsi="Calibri" w:cs="Calibri"/>
                <w:color w:val="auto"/>
              </w:rPr>
              <w:t>to the financial statements, is an area of significant management judgment, particularly with</w:t>
            </w:r>
            <w:r w:rsidR="001709B0" w:rsidRPr="002E0AD0">
              <w:rPr>
                <w:rFonts w:ascii="Calibri" w:eastAsia="MS UI Gothic" w:hAnsi="Calibri" w:cs="Calibri"/>
                <w:color w:val="auto"/>
              </w:rPr>
              <w:t xml:space="preserve"> </w:t>
            </w:r>
            <w:r w:rsidRPr="002E0AD0">
              <w:rPr>
                <w:rFonts w:ascii="Calibri" w:eastAsia="MS UI Gothic" w:hAnsi="Calibri" w:cs="Calibri"/>
                <w:color w:val="auto"/>
              </w:rPr>
              <w:t>regard to the estimation of allowance for decline in the value of real estate development costs</w:t>
            </w:r>
            <w:r w:rsidR="00CB2B58">
              <w:rPr>
                <w:rFonts w:ascii="Calibri" w:eastAsia="MS UI Gothic" w:hAnsi="Calibri" w:cs="Calibri"/>
                <w:color w:val="auto"/>
              </w:rPr>
              <w:t>,</w:t>
            </w:r>
            <w:r w:rsidRPr="002E0AD0">
              <w:rPr>
                <w:rFonts w:ascii="Calibri" w:eastAsia="MS UI Gothic" w:hAnsi="Calibri" w:cs="Calibri"/>
                <w:color w:val="auto"/>
              </w:rPr>
              <w:t xml:space="preserve"> land held for development</w:t>
            </w:r>
            <w:r w:rsidR="007E456D">
              <w:rPr>
                <w:rFonts w:ascii="Calibri" w:eastAsia="MS UI Gothic" w:hAnsi="Calibri" w:cs="Calibri"/>
                <w:color w:val="auto"/>
              </w:rPr>
              <w:t xml:space="preserve"> and </w:t>
            </w:r>
            <w:r w:rsidR="007E456D" w:rsidRPr="007E456D">
              <w:rPr>
                <w:rFonts w:ascii="Calibri" w:eastAsia="MS UI Gothic" w:hAnsi="Calibri" w:cs="Calibri"/>
                <w:iCs/>
                <w:kern w:val="20"/>
                <w:lang w:bidi="he-IL"/>
              </w:rPr>
              <w:t>investment property</w:t>
            </w:r>
            <w:r w:rsidRPr="002E0AD0">
              <w:rPr>
                <w:rFonts w:ascii="Calibri" w:eastAsia="MS UI Gothic" w:hAnsi="Calibri" w:cs="Calibri"/>
                <w:color w:val="auto"/>
              </w:rPr>
              <w:t xml:space="preserve"> with impairment indicators. This requires detailed analysis of the project nature, the competitive environment,</w:t>
            </w:r>
            <w:r w:rsidR="00833C7D">
              <w:rPr>
                <w:rFonts w:ascii="Calibri" w:eastAsia="MS UI Gothic" w:hAnsi="Calibri" w:cs="Calibri"/>
                <w:color w:val="auto"/>
              </w:rPr>
              <w:t xml:space="preserve"> </w:t>
            </w:r>
            <w:r w:rsidRPr="002E0AD0">
              <w:rPr>
                <w:rFonts w:ascii="Calibri" w:eastAsia="MS UI Gothic" w:hAnsi="Calibri" w:cs="Calibri"/>
                <w:color w:val="auto"/>
              </w:rPr>
              <w:t>economic</w:t>
            </w:r>
            <w:r w:rsidR="00CB2B58">
              <w:rPr>
                <w:rFonts w:ascii="Calibri" w:eastAsia="MS UI Gothic" w:hAnsi="Calibri" w:cs="Calibri"/>
                <w:color w:val="auto"/>
              </w:rPr>
              <w:t xml:space="preserve"> </w:t>
            </w:r>
            <w:r w:rsidRPr="002E0AD0">
              <w:rPr>
                <w:rFonts w:ascii="Calibri" w:eastAsia="MS UI Gothic" w:hAnsi="Calibri" w:cs="Calibri"/>
                <w:color w:val="auto"/>
              </w:rPr>
              <w:t>circumstances and the situation within real estate business. Therefore, there is a risk with respect to the amount of allowance for decline in value of real estate development</w:t>
            </w:r>
            <w:r w:rsidR="001709B0" w:rsidRPr="002E0AD0">
              <w:rPr>
                <w:rFonts w:ascii="Calibri" w:eastAsia="MS UI Gothic" w:hAnsi="Calibri" w:cs="Calibri"/>
                <w:color w:val="auto"/>
              </w:rPr>
              <w:t xml:space="preserve"> </w:t>
            </w:r>
            <w:r w:rsidRPr="002E0AD0">
              <w:rPr>
                <w:rFonts w:ascii="Calibri" w:eastAsia="MS UI Gothic" w:hAnsi="Calibri" w:cs="Calibri"/>
                <w:color w:val="auto"/>
              </w:rPr>
              <w:t>costs</w:t>
            </w:r>
            <w:r w:rsidR="00CB2B58">
              <w:rPr>
                <w:rFonts w:ascii="Calibri" w:eastAsia="MS UI Gothic" w:hAnsi="Calibri" w:cs="Calibri"/>
                <w:color w:val="auto"/>
              </w:rPr>
              <w:t xml:space="preserve">, </w:t>
            </w:r>
            <w:r w:rsidRPr="002E0AD0">
              <w:rPr>
                <w:rFonts w:ascii="Calibri" w:eastAsia="MS UI Gothic" w:hAnsi="Calibri" w:cs="Calibri"/>
                <w:color w:val="auto"/>
              </w:rPr>
              <w:t>land held for development,</w:t>
            </w:r>
            <w:r w:rsidR="00B022D0">
              <w:rPr>
                <w:rFonts w:ascii="Calibri" w:eastAsia="MS UI Gothic" w:hAnsi="Calibri" w:cs="Calibri"/>
                <w:color w:val="auto"/>
              </w:rPr>
              <w:t xml:space="preserve"> and investment </w:t>
            </w:r>
            <w:proofErr w:type="gramStart"/>
            <w:r w:rsidR="00B022D0">
              <w:rPr>
                <w:rFonts w:ascii="Calibri" w:eastAsia="MS UI Gothic" w:hAnsi="Calibri" w:cs="Calibri"/>
                <w:color w:val="auto"/>
              </w:rPr>
              <w:t xml:space="preserve">property </w:t>
            </w:r>
            <w:r w:rsidRPr="002E0AD0">
              <w:rPr>
                <w:rFonts w:ascii="Calibri" w:eastAsia="MS UI Gothic" w:hAnsi="Calibri" w:cs="Calibri"/>
                <w:color w:val="auto"/>
              </w:rPr>
              <w:t xml:space="preserve"> which</w:t>
            </w:r>
            <w:proofErr w:type="gramEnd"/>
            <w:r w:rsidRPr="002E0AD0">
              <w:rPr>
                <w:rFonts w:ascii="Calibri" w:eastAsia="MS UI Gothic" w:hAnsi="Calibri" w:cs="Calibri"/>
                <w:color w:val="auto"/>
              </w:rPr>
              <w:t xml:space="preserve"> </w:t>
            </w:r>
            <w:r w:rsidR="007E456D">
              <w:rPr>
                <w:rFonts w:ascii="Calibri" w:eastAsia="MS UI Gothic" w:hAnsi="Calibri" w:cs="Calibri"/>
                <w:color w:val="auto"/>
              </w:rPr>
              <w:t>they</w:t>
            </w:r>
            <w:r w:rsidRPr="002E0AD0">
              <w:rPr>
                <w:rFonts w:ascii="Calibri" w:eastAsia="MS UI Gothic" w:hAnsi="Calibri" w:cs="Calibri"/>
                <w:color w:val="auto"/>
              </w:rPr>
              <w:t xml:space="preserve"> are significant amounts in the statement of financial position.</w:t>
            </w:r>
          </w:p>
        </w:tc>
        <w:tc>
          <w:tcPr>
            <w:tcW w:w="236" w:type="dxa"/>
            <w:tcBorders>
              <w:bottom w:val="single" w:sz="4" w:space="0" w:color="auto"/>
            </w:tcBorders>
          </w:tcPr>
          <w:p w14:paraId="6BD18F9B" w14:textId="77777777" w:rsidR="001700A7" w:rsidRPr="002E0AD0" w:rsidRDefault="001700A7" w:rsidP="00494CF4">
            <w:pPr>
              <w:spacing w:line="240" w:lineRule="auto"/>
              <w:outlineLvl w:val="0"/>
              <w:rPr>
                <w:rFonts w:ascii="Calibri" w:eastAsia="MS UI Gothic" w:hAnsi="Calibri" w:cs="Calibri"/>
                <w:b/>
                <w:bCs/>
                <w:i/>
                <w:kern w:val="20"/>
                <w:sz w:val="20"/>
                <w:szCs w:val="20"/>
                <w:lang w:bidi="he-IL"/>
              </w:rPr>
            </w:pPr>
          </w:p>
        </w:tc>
        <w:tc>
          <w:tcPr>
            <w:tcW w:w="4943" w:type="dxa"/>
            <w:tcBorders>
              <w:bottom w:val="single" w:sz="4" w:space="0" w:color="auto"/>
            </w:tcBorders>
          </w:tcPr>
          <w:p w14:paraId="238601FE" w14:textId="77777777" w:rsidR="001700A7" w:rsidRPr="002E0AD0" w:rsidRDefault="001700A7" w:rsidP="00C777B5">
            <w:pPr>
              <w:tabs>
                <w:tab w:val="clear" w:pos="4451"/>
              </w:tabs>
              <w:spacing w:line="240" w:lineRule="auto"/>
              <w:ind w:left="34"/>
              <w:outlineLvl w:val="0"/>
              <w:rPr>
                <w:rFonts w:ascii="Calibri" w:eastAsia="MS UI Gothic" w:hAnsi="Calibri" w:cs="Calibri"/>
                <w:b/>
                <w:bCs/>
                <w:i/>
                <w:kern w:val="20"/>
                <w:sz w:val="20"/>
                <w:szCs w:val="20"/>
                <w:lang w:bidi="he-IL"/>
              </w:rPr>
            </w:pPr>
          </w:p>
          <w:p w14:paraId="0F3CABC7" w14:textId="77777777" w:rsidR="001700A7" w:rsidRDefault="001700A7" w:rsidP="00C777B5">
            <w:pPr>
              <w:tabs>
                <w:tab w:val="clear" w:pos="4451"/>
              </w:tabs>
              <w:spacing w:line="240" w:lineRule="auto"/>
              <w:ind w:left="34"/>
              <w:outlineLvl w:val="0"/>
              <w:rPr>
                <w:rFonts w:ascii="Calibri" w:eastAsia="MS UI Gothic" w:hAnsi="Calibri" w:cstheme="minorBidi"/>
                <w:b/>
                <w:bCs/>
                <w:i/>
                <w:kern w:val="20"/>
                <w:sz w:val="20"/>
                <w:szCs w:val="25"/>
              </w:rPr>
            </w:pPr>
          </w:p>
          <w:p w14:paraId="09D59E7B" w14:textId="77777777" w:rsidR="00B93BA3" w:rsidRPr="00B93BA3" w:rsidRDefault="00B93BA3" w:rsidP="00C777B5">
            <w:pPr>
              <w:tabs>
                <w:tab w:val="clear" w:pos="4451"/>
              </w:tabs>
              <w:spacing w:line="240" w:lineRule="auto"/>
              <w:ind w:left="34"/>
              <w:outlineLvl w:val="0"/>
              <w:rPr>
                <w:rFonts w:ascii="Calibri" w:eastAsia="MS UI Gothic" w:hAnsi="Calibri" w:cstheme="minorBidi"/>
                <w:b/>
                <w:bCs/>
                <w:i/>
                <w:kern w:val="20"/>
                <w:sz w:val="20"/>
                <w:szCs w:val="25"/>
              </w:rPr>
            </w:pPr>
          </w:p>
          <w:p w14:paraId="5B08B5D1" w14:textId="77777777" w:rsidR="001700A7" w:rsidRPr="002E0AD0" w:rsidRDefault="001700A7" w:rsidP="00C777B5">
            <w:pPr>
              <w:tabs>
                <w:tab w:val="clear" w:pos="4451"/>
              </w:tabs>
              <w:spacing w:line="240" w:lineRule="auto"/>
              <w:ind w:left="34"/>
              <w:outlineLvl w:val="0"/>
              <w:rPr>
                <w:rFonts w:ascii="Calibri" w:eastAsia="MS UI Gothic" w:hAnsi="Calibri" w:cs="Calibri"/>
                <w:b/>
                <w:bCs/>
                <w:i/>
                <w:kern w:val="20"/>
                <w:sz w:val="20"/>
                <w:szCs w:val="20"/>
                <w:lang w:bidi="he-IL"/>
              </w:rPr>
            </w:pPr>
          </w:p>
          <w:p w14:paraId="515DE179" w14:textId="26945510" w:rsidR="003318EE" w:rsidRPr="002E0AD0" w:rsidRDefault="001700A7" w:rsidP="00951CDD">
            <w:pPr>
              <w:pStyle w:val="ps-000-normal"/>
              <w:tabs>
                <w:tab w:val="left" w:pos="227"/>
              </w:tabs>
              <w:spacing w:after="0"/>
              <w:ind w:left="34" w:right="-9"/>
              <w:jc w:val="thaiDistribute"/>
              <w:rPr>
                <w:rFonts w:ascii="Calibri" w:eastAsia="MS UI Gothic" w:hAnsi="Calibri" w:cs="Calibri"/>
                <w:iCs/>
                <w:color w:val="auto"/>
              </w:rPr>
            </w:pPr>
            <w:r w:rsidRPr="002E0AD0">
              <w:rPr>
                <w:rFonts w:ascii="Calibri" w:eastAsia="MS UI Gothic" w:hAnsi="Calibri" w:cs="Calibri"/>
                <w:iCs/>
                <w:color w:val="auto"/>
              </w:rPr>
              <w:t>My audit procedures included, among others, assessing and testing the internal controls of the Group relevant to the determination of allowance for decline in value of real estate development costs</w:t>
            </w:r>
            <w:r w:rsidR="007E456D">
              <w:rPr>
                <w:rFonts w:ascii="Calibri" w:eastAsia="MS UI Gothic" w:hAnsi="Calibri" w:cs="Calibri"/>
                <w:iCs/>
                <w:color w:val="auto"/>
              </w:rPr>
              <w:t xml:space="preserve">, </w:t>
            </w:r>
            <w:r w:rsidRPr="002E0AD0">
              <w:rPr>
                <w:rFonts w:ascii="Calibri" w:eastAsia="MS UI Gothic" w:hAnsi="Calibri" w:cs="Calibri"/>
                <w:iCs/>
                <w:color w:val="auto"/>
              </w:rPr>
              <w:t>land held for development</w:t>
            </w:r>
            <w:r w:rsidR="00CB2B58">
              <w:rPr>
                <w:rFonts w:ascii="Calibri" w:eastAsia="MS UI Gothic" w:hAnsi="Calibri" w:cs="Calibri"/>
                <w:iCs/>
                <w:color w:val="auto"/>
              </w:rPr>
              <w:t xml:space="preserve"> and investment property </w:t>
            </w:r>
            <w:r w:rsidRPr="002E0AD0">
              <w:rPr>
                <w:rFonts w:ascii="Calibri" w:eastAsia="MS UI Gothic" w:hAnsi="Calibri" w:cs="Calibri"/>
                <w:iCs/>
                <w:color w:val="auto"/>
              </w:rPr>
              <w:t>by making enquiry of responsible executives, obtaining an understanding of the controls and selecting representative samples to test the operation of the Group’s designed controls. In addition,</w:t>
            </w:r>
            <w:r w:rsidR="00951CDD">
              <w:rPr>
                <w:rFonts w:ascii="Calibri" w:eastAsia="MS UI Gothic" w:hAnsi="Calibri" w:cs="Calibri"/>
                <w:iCs/>
                <w:color w:val="auto"/>
              </w:rPr>
              <w:t xml:space="preserve"> </w:t>
            </w:r>
            <w:r w:rsidRPr="002E0AD0">
              <w:rPr>
                <w:rFonts w:ascii="Calibri" w:eastAsia="MS UI Gothic" w:hAnsi="Calibri" w:cs="Calibri"/>
                <w:iCs/>
                <w:color w:val="auto"/>
              </w:rPr>
              <w:t xml:space="preserve">I also assessed the method and the assumptions applied by management in determining allowances </w:t>
            </w:r>
            <w:r w:rsidR="005D285E">
              <w:rPr>
                <w:rFonts w:ascii="Calibri" w:eastAsia="MS UI Gothic" w:hAnsi="Calibri" w:cs="Calibri"/>
                <w:iCs/>
                <w:color w:val="auto"/>
              </w:rPr>
              <w:t xml:space="preserve">for </w:t>
            </w:r>
            <w:r w:rsidR="005D285E" w:rsidRPr="005D285E">
              <w:rPr>
                <w:rFonts w:ascii="Calibri" w:eastAsia="MS UI Gothic" w:hAnsi="Calibri" w:cs="Calibri"/>
                <w:iCs/>
                <w:color w:val="auto"/>
              </w:rPr>
              <w:t>declin</w:t>
            </w:r>
            <w:r w:rsidR="005D285E">
              <w:rPr>
                <w:rFonts w:ascii="Calibri" w:eastAsia="MS UI Gothic" w:hAnsi="Calibri" w:cs="Calibri"/>
                <w:iCs/>
                <w:color w:val="auto"/>
              </w:rPr>
              <w:t>e</w:t>
            </w:r>
            <w:r w:rsidR="005D285E" w:rsidRPr="005D285E">
              <w:rPr>
                <w:rFonts w:ascii="Calibri" w:eastAsia="MS UI Gothic" w:hAnsi="Calibri" w:cs="Calibri"/>
                <w:iCs/>
                <w:color w:val="auto"/>
              </w:rPr>
              <w:t xml:space="preserve"> in value of </w:t>
            </w:r>
            <w:r w:rsidR="00B022D0">
              <w:rPr>
                <w:rFonts w:ascii="Calibri" w:eastAsia="MS UI Gothic" w:hAnsi="Calibri" w:cs="Calibri"/>
                <w:iCs/>
                <w:color w:val="auto"/>
              </w:rPr>
              <w:t>real estate development cost</w:t>
            </w:r>
            <w:r w:rsidR="005D285E">
              <w:rPr>
                <w:rFonts w:ascii="Calibri" w:eastAsia="MS UI Gothic" w:hAnsi="Calibri" w:cs="Calibri"/>
                <w:iCs/>
                <w:color w:val="auto"/>
              </w:rPr>
              <w:t xml:space="preserve">, </w:t>
            </w:r>
            <w:r w:rsidR="005D285E" w:rsidRPr="005D285E">
              <w:rPr>
                <w:rFonts w:ascii="Calibri" w:eastAsia="MS UI Gothic" w:hAnsi="Calibri" w:cs="Calibri"/>
                <w:iCs/>
                <w:kern w:val="20"/>
                <w:lang w:bidi="he-IL"/>
              </w:rPr>
              <w:t>land held for development</w:t>
            </w:r>
            <w:r w:rsidR="005D285E" w:rsidRPr="005D285E">
              <w:rPr>
                <w:rFonts w:ascii="Calibri" w:eastAsia="MS UI Gothic" w:hAnsi="Calibri" w:cs="Calibri"/>
                <w:iCs/>
                <w:color w:val="auto"/>
              </w:rPr>
              <w:t xml:space="preserve"> </w:t>
            </w:r>
            <w:r w:rsidR="00B022D0">
              <w:rPr>
                <w:rFonts w:ascii="Calibri" w:eastAsia="MS UI Gothic" w:hAnsi="Calibri" w:cs="Calibri"/>
                <w:iCs/>
                <w:color w:val="auto"/>
              </w:rPr>
              <w:t xml:space="preserve">and investment property </w:t>
            </w:r>
            <w:r w:rsidRPr="005D285E">
              <w:rPr>
                <w:rFonts w:ascii="Calibri" w:eastAsia="MS UI Gothic" w:hAnsi="Calibri" w:cs="Calibri"/>
                <w:iCs/>
                <w:color w:val="auto"/>
              </w:rPr>
              <w:t>by the follow</w:t>
            </w:r>
            <w:r w:rsidRPr="002E0AD0">
              <w:rPr>
                <w:rFonts w:ascii="Calibri" w:eastAsia="MS UI Gothic" w:hAnsi="Calibri" w:cs="Calibri"/>
                <w:iCs/>
                <w:color w:val="auto"/>
              </w:rPr>
              <w:t>ings:</w:t>
            </w:r>
          </w:p>
          <w:p w14:paraId="155A4D53" w14:textId="38801A31" w:rsidR="001700A7" w:rsidRPr="00C777B5" w:rsidRDefault="001700A7" w:rsidP="00951CDD">
            <w:pPr>
              <w:numPr>
                <w:ilvl w:val="0"/>
                <w:numId w:val="24"/>
              </w:num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overflowPunct w:val="0"/>
              <w:autoSpaceDE w:val="0"/>
              <w:autoSpaceDN w:val="0"/>
              <w:adjustRightInd w:val="0"/>
              <w:spacing w:line="240" w:lineRule="auto"/>
              <w:ind w:left="340" w:hanging="322"/>
              <w:contextualSpacing/>
              <w:jc w:val="thaiDistribute"/>
              <w:textAlignment w:val="baseline"/>
              <w:rPr>
                <w:rFonts w:ascii="Calibri" w:eastAsia="MS UI Gothic" w:hAnsi="Calibri" w:cs="Calibri"/>
                <w:sz w:val="20"/>
                <w:szCs w:val="20"/>
              </w:rPr>
            </w:pPr>
            <w:r w:rsidRPr="00C777B5">
              <w:rPr>
                <w:rFonts w:ascii="Calibri" w:eastAsia="MS UI Gothic" w:hAnsi="Calibri" w:cs="Calibri"/>
                <w:sz w:val="20"/>
                <w:szCs w:val="20"/>
              </w:rPr>
              <w:t>Obtaining an understanding of the basis applied in determining the allowance for decline in value of real estate development costs</w:t>
            </w:r>
            <w:r w:rsidR="007E456D" w:rsidRPr="00C777B5">
              <w:rPr>
                <w:rFonts w:ascii="Calibri" w:eastAsia="MS UI Gothic" w:hAnsi="Calibri" w:cs="Calibri"/>
                <w:sz w:val="20"/>
                <w:szCs w:val="20"/>
              </w:rPr>
              <w:t>,</w:t>
            </w:r>
            <w:r w:rsidRPr="00C777B5">
              <w:rPr>
                <w:rFonts w:ascii="Calibri" w:eastAsia="MS UI Gothic" w:hAnsi="Calibri" w:cs="Calibri"/>
                <w:sz w:val="20"/>
                <w:szCs w:val="20"/>
              </w:rPr>
              <w:t xml:space="preserve"> land held for development, </w:t>
            </w:r>
            <w:r w:rsidR="007E456D" w:rsidRPr="00C777B5">
              <w:rPr>
                <w:rFonts w:ascii="Calibri" w:eastAsia="MS UI Gothic" w:hAnsi="Calibri" w:cs="Calibri"/>
                <w:sz w:val="20"/>
                <w:szCs w:val="20"/>
              </w:rPr>
              <w:t xml:space="preserve">and investment property </w:t>
            </w:r>
            <w:r w:rsidRPr="00C777B5">
              <w:rPr>
                <w:rFonts w:ascii="Calibri" w:eastAsia="MS UI Gothic" w:hAnsi="Calibri" w:cs="Calibri"/>
                <w:sz w:val="20"/>
                <w:szCs w:val="20"/>
              </w:rPr>
              <w:t>and reviewing the consistency of the application of that basis, and the rationale for the recording of allowance for d</w:t>
            </w:r>
            <w:r w:rsidR="00B022D0">
              <w:rPr>
                <w:rFonts w:ascii="Calibri" w:eastAsia="MS UI Gothic" w:hAnsi="Calibri" w:cs="Calibri"/>
                <w:sz w:val="20"/>
                <w:szCs w:val="20"/>
              </w:rPr>
              <w:t>ecline</w:t>
            </w:r>
            <w:r w:rsidRPr="00C777B5">
              <w:rPr>
                <w:rFonts w:ascii="Calibri" w:eastAsia="MS UI Gothic" w:hAnsi="Calibri" w:cs="Calibri"/>
                <w:sz w:val="20"/>
                <w:szCs w:val="20"/>
              </w:rPr>
              <w:t xml:space="preserve"> in the value of real estate development cost</w:t>
            </w:r>
            <w:r w:rsidR="007E456D" w:rsidRPr="00C777B5">
              <w:rPr>
                <w:rFonts w:ascii="Calibri" w:eastAsia="MS UI Gothic" w:hAnsi="Calibri" w:cs="Calibri"/>
                <w:sz w:val="20"/>
                <w:szCs w:val="20"/>
              </w:rPr>
              <w:t xml:space="preserve">s, </w:t>
            </w:r>
            <w:r w:rsidRPr="00C777B5">
              <w:rPr>
                <w:rFonts w:ascii="Calibri" w:eastAsia="MS UI Gothic" w:hAnsi="Calibri" w:cs="Calibri"/>
                <w:sz w:val="20"/>
                <w:szCs w:val="20"/>
              </w:rPr>
              <w:t>land held for development</w:t>
            </w:r>
            <w:r w:rsidR="007E456D" w:rsidRPr="00C777B5">
              <w:rPr>
                <w:rFonts w:ascii="Calibri" w:eastAsia="MS UI Gothic" w:hAnsi="Calibri" w:cs="Calibri"/>
                <w:sz w:val="20"/>
                <w:szCs w:val="20"/>
              </w:rPr>
              <w:t xml:space="preserve"> and investment property</w:t>
            </w:r>
            <w:r w:rsidRPr="00C777B5">
              <w:rPr>
                <w:rFonts w:ascii="Calibri" w:eastAsia="MS UI Gothic" w:hAnsi="Calibri" w:cs="Calibri"/>
                <w:sz w:val="20"/>
                <w:szCs w:val="20"/>
              </w:rPr>
              <w:t>.</w:t>
            </w:r>
          </w:p>
          <w:p w14:paraId="2C4754E4" w14:textId="4368DDF0" w:rsidR="001700A7" w:rsidRPr="00C777B5" w:rsidRDefault="001700A7" w:rsidP="00951CDD">
            <w:pPr>
              <w:numPr>
                <w:ilvl w:val="0"/>
                <w:numId w:val="24"/>
              </w:num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overflowPunct w:val="0"/>
              <w:autoSpaceDE w:val="0"/>
              <w:autoSpaceDN w:val="0"/>
              <w:adjustRightInd w:val="0"/>
              <w:spacing w:line="240" w:lineRule="auto"/>
              <w:ind w:left="340" w:right="26" w:hanging="322"/>
              <w:contextualSpacing/>
              <w:jc w:val="thaiDistribute"/>
              <w:textAlignment w:val="baseline"/>
              <w:rPr>
                <w:rFonts w:ascii="Calibri" w:eastAsia="MS UI Gothic" w:hAnsi="Calibri" w:cs="Calibri"/>
                <w:sz w:val="20"/>
                <w:szCs w:val="20"/>
              </w:rPr>
            </w:pPr>
            <w:r w:rsidRPr="00C777B5">
              <w:rPr>
                <w:rFonts w:ascii="Calibri" w:eastAsia="MS UI Gothic" w:hAnsi="Calibri" w:cs="Calibri"/>
                <w:sz w:val="20"/>
                <w:szCs w:val="20"/>
              </w:rPr>
              <w:t>Comparing the</w:t>
            </w:r>
            <w:r w:rsidRPr="00C777B5">
              <w:rPr>
                <w:rFonts w:ascii="Calibri" w:eastAsia="MS UI Gothic" w:hAnsi="Calibri" w:cs="Calibri"/>
                <w:sz w:val="20"/>
                <w:szCs w:val="20"/>
                <w:cs/>
              </w:rPr>
              <w:t xml:space="preserve"> </w:t>
            </w:r>
            <w:r w:rsidRPr="00C777B5">
              <w:rPr>
                <w:rFonts w:ascii="Calibri" w:eastAsia="MS UI Gothic" w:hAnsi="Calibri" w:cs="Calibri"/>
                <w:sz w:val="20"/>
                <w:szCs w:val="20"/>
              </w:rPr>
              <w:t xml:space="preserve">holding periods of the real estate development projects and their movements with indicators of </w:t>
            </w:r>
            <w:proofErr w:type="gramStart"/>
            <w:r w:rsidRPr="00C777B5">
              <w:rPr>
                <w:rFonts w:ascii="Calibri" w:eastAsia="MS UI Gothic" w:hAnsi="Calibri" w:cs="Calibri"/>
                <w:sz w:val="20"/>
                <w:szCs w:val="20"/>
              </w:rPr>
              <w:t>lower than normal</w:t>
            </w:r>
            <w:proofErr w:type="gramEnd"/>
            <w:r w:rsidRPr="00C777B5">
              <w:rPr>
                <w:rFonts w:ascii="Calibri" w:eastAsia="MS UI Gothic" w:hAnsi="Calibri" w:cs="Calibri"/>
                <w:sz w:val="20"/>
                <w:szCs w:val="20"/>
              </w:rPr>
              <w:t xml:space="preserve"> inventory turnover including the consideration of related internal and external information to assess whether real estate</w:t>
            </w:r>
            <w:r w:rsidR="00035C1B" w:rsidRPr="00C777B5">
              <w:rPr>
                <w:rFonts w:ascii="Calibri" w:eastAsia="MS UI Gothic" w:hAnsi="Calibri" w:cs="Calibri"/>
                <w:sz w:val="20"/>
                <w:szCs w:val="20"/>
              </w:rPr>
              <w:t xml:space="preserve"> </w:t>
            </w:r>
            <w:r w:rsidRPr="00C777B5">
              <w:rPr>
                <w:rFonts w:ascii="Calibri" w:eastAsia="MS UI Gothic" w:hAnsi="Calibri" w:cs="Calibri"/>
                <w:sz w:val="20"/>
                <w:szCs w:val="20"/>
              </w:rPr>
              <w:t>development projects</w:t>
            </w:r>
            <w:r w:rsidR="007E456D" w:rsidRPr="00C777B5">
              <w:rPr>
                <w:rFonts w:ascii="Calibri" w:eastAsia="MS UI Gothic" w:hAnsi="Calibri" w:cs="Calibri"/>
                <w:sz w:val="20"/>
                <w:szCs w:val="20"/>
              </w:rPr>
              <w:t xml:space="preserve">, </w:t>
            </w:r>
            <w:r w:rsidRPr="00C777B5">
              <w:rPr>
                <w:rFonts w:ascii="Calibri" w:eastAsia="MS UI Gothic" w:hAnsi="Calibri" w:cs="Calibri"/>
                <w:sz w:val="20"/>
                <w:szCs w:val="20"/>
              </w:rPr>
              <w:t>land held for</w:t>
            </w:r>
            <w:r w:rsidR="00035C1B" w:rsidRPr="00C777B5">
              <w:rPr>
                <w:rFonts w:ascii="Calibri" w:eastAsia="MS UI Gothic" w:hAnsi="Calibri" w:cs="Calibri"/>
                <w:sz w:val="20"/>
                <w:szCs w:val="20"/>
              </w:rPr>
              <w:t xml:space="preserve"> </w:t>
            </w:r>
            <w:r w:rsidRPr="00C777B5">
              <w:rPr>
                <w:rFonts w:ascii="Calibri" w:eastAsia="MS UI Gothic" w:hAnsi="Calibri" w:cs="Calibri"/>
                <w:sz w:val="20"/>
                <w:szCs w:val="20"/>
              </w:rPr>
              <w:t>development</w:t>
            </w:r>
            <w:r w:rsidR="007E456D" w:rsidRPr="00C777B5">
              <w:rPr>
                <w:rFonts w:ascii="Calibri" w:eastAsia="MS UI Gothic" w:hAnsi="Calibri" w:cs="Calibri"/>
                <w:sz w:val="20"/>
                <w:szCs w:val="20"/>
              </w:rPr>
              <w:t xml:space="preserve"> and investment property</w:t>
            </w:r>
            <w:r w:rsidRPr="00C777B5">
              <w:rPr>
                <w:rFonts w:ascii="Calibri" w:eastAsia="MS UI Gothic" w:hAnsi="Calibri" w:cs="Calibri"/>
                <w:sz w:val="20"/>
                <w:szCs w:val="20"/>
              </w:rPr>
              <w:t xml:space="preserve"> have any impairment indicators.</w:t>
            </w:r>
          </w:p>
          <w:p w14:paraId="0EC3BF83" w14:textId="1E21508D" w:rsidR="001700A7" w:rsidRPr="00F12189" w:rsidRDefault="001700A7" w:rsidP="00951CDD">
            <w:pPr>
              <w:numPr>
                <w:ilvl w:val="0"/>
                <w:numId w:val="24"/>
              </w:num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overflowPunct w:val="0"/>
              <w:autoSpaceDE w:val="0"/>
              <w:autoSpaceDN w:val="0"/>
              <w:adjustRightInd w:val="0"/>
              <w:spacing w:line="240" w:lineRule="auto"/>
              <w:ind w:left="340" w:right="47" w:hanging="322"/>
              <w:contextualSpacing/>
              <w:jc w:val="thaiDistribute"/>
              <w:textAlignment w:val="baseline"/>
              <w:rPr>
                <w:rFonts w:ascii="Calibri" w:eastAsia="MS UI Gothic" w:hAnsi="Calibri" w:cs="Calibri"/>
                <w:sz w:val="20"/>
                <w:szCs w:val="20"/>
              </w:rPr>
            </w:pPr>
            <w:r w:rsidRPr="00F12189">
              <w:rPr>
                <w:rFonts w:ascii="Calibri" w:eastAsia="MS UI Gothic" w:hAnsi="Calibri" w:cs="Calibri"/>
                <w:sz w:val="20"/>
                <w:szCs w:val="20"/>
              </w:rPr>
              <w:t>Comparing details of sales transactions occurring after the date of the financial statements with the cost of real estate development costs</w:t>
            </w:r>
            <w:r w:rsidR="00841159" w:rsidRPr="00F12189">
              <w:rPr>
                <w:rFonts w:ascii="Calibri" w:eastAsia="MS UI Gothic" w:hAnsi="Calibri" w:cs="Calibri"/>
                <w:sz w:val="20"/>
                <w:szCs w:val="20"/>
              </w:rPr>
              <w:t xml:space="preserve">, </w:t>
            </w:r>
            <w:r w:rsidRPr="00F12189">
              <w:rPr>
                <w:rFonts w:ascii="Calibri" w:eastAsia="MS UI Gothic" w:hAnsi="Calibri" w:cs="Calibri"/>
                <w:sz w:val="20"/>
                <w:szCs w:val="20"/>
              </w:rPr>
              <w:t>land held for development</w:t>
            </w:r>
            <w:r w:rsidR="007E456D" w:rsidRPr="00F12189">
              <w:rPr>
                <w:rFonts w:ascii="Calibri" w:eastAsia="MS UI Gothic" w:hAnsi="Calibri" w:cs="Calibri"/>
                <w:sz w:val="20"/>
                <w:szCs w:val="20"/>
              </w:rPr>
              <w:t xml:space="preserve"> and investment property</w:t>
            </w:r>
            <w:r w:rsidRPr="00F12189">
              <w:rPr>
                <w:rFonts w:ascii="Calibri" w:eastAsia="MS UI Gothic" w:hAnsi="Calibri" w:cs="Calibri"/>
                <w:sz w:val="20"/>
                <w:szCs w:val="20"/>
              </w:rPr>
              <w:t xml:space="preserve"> for each project.</w:t>
            </w:r>
          </w:p>
          <w:p w14:paraId="5F2FE786" w14:textId="215DF0A1" w:rsidR="001700A7" w:rsidRPr="00C777B5" w:rsidRDefault="001700A7" w:rsidP="00951CDD">
            <w:pPr>
              <w:numPr>
                <w:ilvl w:val="0"/>
                <w:numId w:val="24"/>
              </w:num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overflowPunct w:val="0"/>
              <w:autoSpaceDE w:val="0"/>
              <w:autoSpaceDN w:val="0"/>
              <w:adjustRightInd w:val="0"/>
              <w:spacing w:line="240" w:lineRule="auto"/>
              <w:ind w:left="340" w:right="5" w:hanging="322"/>
              <w:contextualSpacing/>
              <w:jc w:val="thaiDistribute"/>
              <w:textAlignment w:val="baseline"/>
              <w:rPr>
                <w:rFonts w:ascii="Calibri" w:eastAsia="MS UI Gothic" w:hAnsi="Calibri" w:cs="Calibri"/>
                <w:sz w:val="20"/>
                <w:szCs w:val="20"/>
              </w:rPr>
            </w:pPr>
            <w:r w:rsidRPr="00C777B5">
              <w:rPr>
                <w:rFonts w:ascii="Calibri" w:eastAsia="MS UI Gothic" w:hAnsi="Calibri" w:cs="Calibri"/>
                <w:sz w:val="20"/>
                <w:szCs w:val="20"/>
              </w:rPr>
              <w:t>Obtaining an understanding and assessing the method and the assumptions of the estimation of the net realizable value of real estate development</w:t>
            </w:r>
            <w:r w:rsidR="009F64EE" w:rsidRPr="00C777B5">
              <w:rPr>
                <w:rFonts w:ascii="Calibri" w:eastAsia="MS UI Gothic" w:hAnsi="Calibri" w:cs="Calibri"/>
                <w:sz w:val="20"/>
                <w:szCs w:val="20"/>
              </w:rPr>
              <w:t xml:space="preserve"> </w:t>
            </w:r>
            <w:r w:rsidRPr="00C777B5">
              <w:rPr>
                <w:rFonts w:ascii="Calibri" w:eastAsia="MS UI Gothic" w:hAnsi="Calibri" w:cs="Calibri"/>
                <w:sz w:val="20"/>
                <w:szCs w:val="20"/>
              </w:rPr>
              <w:t>costs</w:t>
            </w:r>
            <w:r w:rsidR="007E456D" w:rsidRPr="00C777B5">
              <w:rPr>
                <w:rFonts w:ascii="Calibri" w:eastAsia="MS UI Gothic" w:hAnsi="Calibri" w:cs="Calibri"/>
                <w:sz w:val="20"/>
                <w:szCs w:val="20"/>
              </w:rPr>
              <w:t xml:space="preserve">, </w:t>
            </w:r>
            <w:r w:rsidRPr="00C777B5">
              <w:rPr>
                <w:rFonts w:ascii="Calibri" w:eastAsia="MS UI Gothic" w:hAnsi="Calibri" w:cs="Calibri"/>
                <w:sz w:val="20"/>
                <w:szCs w:val="20"/>
              </w:rPr>
              <w:t>land</w:t>
            </w:r>
            <w:r w:rsidR="00777E57" w:rsidRPr="00C777B5">
              <w:rPr>
                <w:rFonts w:ascii="Calibri" w:eastAsia="MS UI Gothic" w:hAnsi="Calibri" w:cs="Calibri"/>
                <w:sz w:val="20"/>
                <w:szCs w:val="20"/>
              </w:rPr>
              <w:t xml:space="preserve"> </w:t>
            </w:r>
            <w:r w:rsidRPr="00C777B5">
              <w:rPr>
                <w:rFonts w:ascii="Calibri" w:eastAsia="MS UI Gothic" w:hAnsi="Calibri" w:cs="Calibri"/>
                <w:sz w:val="20"/>
                <w:szCs w:val="20"/>
              </w:rPr>
              <w:t>held for</w:t>
            </w:r>
            <w:r w:rsidR="00D930E4" w:rsidRPr="00C777B5">
              <w:rPr>
                <w:rFonts w:ascii="Calibri" w:eastAsia="MS UI Gothic" w:hAnsi="Calibri" w:cs="Calibri"/>
                <w:sz w:val="20"/>
                <w:szCs w:val="20"/>
              </w:rPr>
              <w:t xml:space="preserve"> </w:t>
            </w:r>
            <w:r w:rsidRPr="00C777B5">
              <w:rPr>
                <w:rFonts w:ascii="Calibri" w:eastAsia="MS UI Gothic" w:hAnsi="Calibri" w:cs="Calibri"/>
                <w:sz w:val="20"/>
                <w:szCs w:val="20"/>
              </w:rPr>
              <w:t xml:space="preserve">development </w:t>
            </w:r>
            <w:r w:rsidR="007E456D" w:rsidRPr="00C777B5">
              <w:rPr>
                <w:rFonts w:ascii="Calibri" w:eastAsia="MS UI Gothic" w:hAnsi="Calibri" w:cs="Calibri"/>
                <w:sz w:val="20"/>
                <w:szCs w:val="20"/>
              </w:rPr>
              <w:t xml:space="preserve">and investment property </w:t>
            </w:r>
            <w:r w:rsidRPr="00C777B5">
              <w:rPr>
                <w:rFonts w:ascii="Calibri" w:eastAsia="MS UI Gothic" w:hAnsi="Calibri" w:cs="Calibri"/>
                <w:sz w:val="20"/>
                <w:szCs w:val="20"/>
              </w:rPr>
              <w:t>prepared by the Group’s management or appraisal reports of independent appraisers.</w:t>
            </w:r>
          </w:p>
          <w:p w14:paraId="16DEB4AB" w14:textId="77777777" w:rsidR="001700A7" w:rsidRPr="002E0AD0" w:rsidRDefault="001700A7" w:rsidP="00C777B5">
            <w:pPr>
              <w:tabs>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overflowPunct w:val="0"/>
              <w:autoSpaceDE w:val="0"/>
              <w:autoSpaceDN w:val="0"/>
              <w:adjustRightInd w:val="0"/>
              <w:spacing w:line="240" w:lineRule="auto"/>
              <w:ind w:left="34"/>
              <w:contextualSpacing/>
              <w:jc w:val="thaiDistribute"/>
              <w:textAlignment w:val="baseline"/>
              <w:rPr>
                <w:rFonts w:ascii="Calibri" w:eastAsia="MS UI Gothic" w:hAnsi="Calibri" w:cs="Calibri"/>
                <w:iCs/>
                <w:kern w:val="20"/>
                <w:sz w:val="20"/>
                <w:szCs w:val="20"/>
                <w:lang w:bidi="he-IL"/>
              </w:rPr>
            </w:pPr>
          </w:p>
        </w:tc>
      </w:tr>
    </w:tbl>
    <w:p w14:paraId="0AD9C6F4" w14:textId="77777777" w:rsidR="00BC5964" w:rsidRPr="002E0AD0" w:rsidRDefault="00BC5964" w:rsidP="00E95954">
      <w:pPr>
        <w:spacing w:line="240" w:lineRule="auto"/>
        <w:jc w:val="thaiDistribute"/>
        <w:outlineLvl w:val="0"/>
        <w:rPr>
          <w:rFonts w:ascii="Calibri" w:eastAsia="MS UI Gothic" w:hAnsi="Calibri" w:cs="Calibri"/>
          <w:i/>
          <w:kern w:val="20"/>
          <w:sz w:val="20"/>
          <w:szCs w:val="20"/>
          <w:lang w:bidi="he-IL"/>
        </w:rPr>
      </w:pPr>
    </w:p>
    <w:p w14:paraId="00999F22" w14:textId="77777777" w:rsidR="00C777B5" w:rsidRDefault="00C777B5" w:rsidP="00A805AA">
      <w:pPr>
        <w:pStyle w:val="ps-000-normal"/>
        <w:spacing w:after="0"/>
        <w:jc w:val="thaiDistribute"/>
        <w:rPr>
          <w:rFonts w:ascii="Calibri" w:eastAsia="Calibri" w:hAnsi="Calibri" w:cstheme="minorBidi"/>
        </w:rPr>
      </w:pPr>
    </w:p>
    <w:p w14:paraId="0D44B72E" w14:textId="77777777" w:rsidR="00F74398" w:rsidRDefault="00F74398" w:rsidP="00A805AA">
      <w:pPr>
        <w:pStyle w:val="ps-000-normal"/>
        <w:spacing w:after="0"/>
        <w:jc w:val="thaiDistribute"/>
        <w:rPr>
          <w:rFonts w:ascii="Calibri" w:eastAsia="Calibri" w:hAnsi="Calibri" w:cstheme="minorBidi"/>
        </w:rPr>
      </w:pPr>
    </w:p>
    <w:p w14:paraId="0A8016B7" w14:textId="77777777" w:rsidR="00F74398" w:rsidRDefault="00F74398" w:rsidP="00A805AA">
      <w:pPr>
        <w:pStyle w:val="ps-000-normal"/>
        <w:spacing w:after="0"/>
        <w:jc w:val="thaiDistribute"/>
        <w:rPr>
          <w:rFonts w:ascii="Calibri" w:eastAsia="Calibri" w:hAnsi="Calibri" w:cstheme="minorBidi"/>
        </w:rPr>
      </w:pPr>
    </w:p>
    <w:p w14:paraId="257619F4" w14:textId="77777777" w:rsidR="00F74398" w:rsidRDefault="00F74398" w:rsidP="00A805AA">
      <w:pPr>
        <w:pStyle w:val="ps-000-normal"/>
        <w:spacing w:after="0"/>
        <w:jc w:val="thaiDistribute"/>
        <w:rPr>
          <w:rFonts w:ascii="Calibri" w:eastAsia="Calibri" w:hAnsi="Calibri" w:cstheme="minorBidi"/>
        </w:rPr>
      </w:pPr>
    </w:p>
    <w:p w14:paraId="1239EC27" w14:textId="77777777" w:rsidR="00F74398" w:rsidRDefault="00F74398" w:rsidP="00A805AA">
      <w:pPr>
        <w:pStyle w:val="ps-000-normal"/>
        <w:spacing w:after="0"/>
        <w:jc w:val="thaiDistribute"/>
        <w:rPr>
          <w:rFonts w:ascii="Calibri" w:eastAsia="Calibri" w:hAnsi="Calibri" w:cstheme="minorBidi"/>
        </w:rPr>
      </w:pPr>
    </w:p>
    <w:p w14:paraId="59E98337" w14:textId="77777777" w:rsidR="00F74398" w:rsidRDefault="00F74398" w:rsidP="00A805AA">
      <w:pPr>
        <w:pStyle w:val="ps-000-normal"/>
        <w:spacing w:after="0"/>
        <w:jc w:val="thaiDistribute"/>
        <w:rPr>
          <w:rFonts w:ascii="Calibri" w:eastAsia="Calibri" w:hAnsi="Calibri" w:cstheme="minorBidi"/>
        </w:rPr>
      </w:pPr>
    </w:p>
    <w:p w14:paraId="4208BA24" w14:textId="77777777" w:rsidR="00C777B5" w:rsidRDefault="00C777B5" w:rsidP="00A805AA">
      <w:pPr>
        <w:pStyle w:val="ps-000-normal"/>
        <w:spacing w:after="0"/>
        <w:jc w:val="thaiDistribute"/>
        <w:rPr>
          <w:rFonts w:ascii="Calibri" w:eastAsia="MS UI Gothic" w:hAnsi="Calibri" w:cstheme="minorBidi"/>
          <w:iCs/>
          <w:color w:val="auto"/>
          <w:kern w:val="20"/>
        </w:rPr>
      </w:pPr>
    </w:p>
    <w:p w14:paraId="635E8EFC" w14:textId="77777777" w:rsidR="00B93BA3" w:rsidRDefault="00B93BA3" w:rsidP="00A805AA">
      <w:pPr>
        <w:pStyle w:val="ps-000-normal"/>
        <w:spacing w:after="0"/>
        <w:jc w:val="thaiDistribute"/>
        <w:rPr>
          <w:rFonts w:ascii="Calibri" w:eastAsia="MS UI Gothic" w:hAnsi="Calibri" w:cstheme="minorBidi"/>
          <w:iCs/>
          <w:color w:val="auto"/>
          <w:kern w:val="20"/>
        </w:rPr>
      </w:pPr>
    </w:p>
    <w:p w14:paraId="33DBB5CB" w14:textId="77777777" w:rsidR="00F12189" w:rsidRDefault="00F12189" w:rsidP="00A805AA">
      <w:pPr>
        <w:pStyle w:val="ps-000-normal"/>
        <w:spacing w:after="0"/>
        <w:jc w:val="thaiDistribute"/>
        <w:rPr>
          <w:rFonts w:ascii="Calibri" w:eastAsia="MS UI Gothic" w:hAnsi="Calibri" w:cstheme="minorBidi"/>
          <w:iCs/>
          <w:color w:val="auto"/>
          <w:kern w:val="20"/>
        </w:rPr>
      </w:pPr>
    </w:p>
    <w:p w14:paraId="4AEAD492" w14:textId="77777777" w:rsidR="00B93BA3" w:rsidRDefault="00B93BA3" w:rsidP="00A805AA">
      <w:pPr>
        <w:pStyle w:val="ps-000-normal"/>
        <w:spacing w:after="0"/>
        <w:jc w:val="thaiDistribute"/>
        <w:rPr>
          <w:rFonts w:ascii="Calibri" w:eastAsia="MS UI Gothic" w:hAnsi="Calibri" w:cstheme="minorBidi"/>
          <w:iCs/>
          <w:color w:val="auto"/>
          <w:kern w:val="20"/>
        </w:rPr>
      </w:pPr>
    </w:p>
    <w:p w14:paraId="4E467D4E" w14:textId="77777777" w:rsidR="000138DD" w:rsidRPr="002E0AD0" w:rsidRDefault="000138DD" w:rsidP="00E95954">
      <w:pPr>
        <w:spacing w:line="240" w:lineRule="auto"/>
        <w:jc w:val="thaiDistribute"/>
        <w:outlineLvl w:val="0"/>
        <w:rPr>
          <w:rFonts w:ascii="Calibri" w:eastAsia="MS UI Gothic" w:hAnsi="Calibri" w:cs="Calibri"/>
          <w:b/>
          <w:bCs/>
          <w:sz w:val="20"/>
          <w:szCs w:val="20"/>
        </w:rPr>
      </w:pPr>
      <w:r w:rsidRPr="002E0AD0">
        <w:rPr>
          <w:rFonts w:ascii="Calibri" w:eastAsia="MS UI Gothic" w:hAnsi="Calibri" w:cs="Calibri"/>
          <w:b/>
          <w:bCs/>
          <w:sz w:val="20"/>
          <w:szCs w:val="20"/>
        </w:rPr>
        <w:lastRenderedPageBreak/>
        <w:t>O</w:t>
      </w:r>
      <w:r w:rsidR="00A10B02" w:rsidRPr="002E0AD0">
        <w:rPr>
          <w:rFonts w:ascii="Calibri" w:eastAsia="MS UI Gothic" w:hAnsi="Calibri" w:cs="Calibri"/>
          <w:b/>
          <w:bCs/>
          <w:sz w:val="20"/>
          <w:szCs w:val="20"/>
        </w:rPr>
        <w:t>THER INFORMATION</w:t>
      </w:r>
    </w:p>
    <w:p w14:paraId="6E1831B3" w14:textId="77777777" w:rsidR="009302B8" w:rsidRPr="002E0AD0" w:rsidRDefault="009302B8" w:rsidP="00E95954">
      <w:pPr>
        <w:pStyle w:val="ps-000-normal"/>
        <w:spacing w:after="0"/>
        <w:jc w:val="thaiDistribute"/>
        <w:rPr>
          <w:rFonts w:ascii="Calibri" w:eastAsia="MS UI Gothic" w:hAnsi="Calibri" w:cs="Calibri"/>
          <w:iCs/>
          <w:color w:val="auto"/>
          <w:kern w:val="20"/>
          <w:lang w:bidi="he-IL"/>
        </w:rPr>
      </w:pPr>
    </w:p>
    <w:p w14:paraId="79DBAAF8" w14:textId="77777777" w:rsidR="000138DD" w:rsidRPr="002E0AD0" w:rsidRDefault="000138DD" w:rsidP="00E95954">
      <w:pPr>
        <w:pStyle w:val="ps-000-normal"/>
        <w:spacing w:after="0"/>
        <w:jc w:val="thaiDistribute"/>
        <w:rPr>
          <w:rFonts w:ascii="Calibri" w:eastAsia="MS UI Gothic" w:hAnsi="Calibri" w:cs="Calibri"/>
          <w:iCs/>
          <w:color w:val="auto"/>
          <w:kern w:val="20"/>
          <w:lang w:bidi="he-IL"/>
        </w:rPr>
      </w:pPr>
      <w:r w:rsidRPr="002E0AD0">
        <w:rPr>
          <w:rFonts w:ascii="Calibri" w:eastAsia="MS UI Gothic" w:hAnsi="Calibri" w:cs="Calibri"/>
          <w:iCs/>
          <w:color w:val="auto"/>
          <w:kern w:val="20"/>
          <w:lang w:bidi="he-IL"/>
        </w:rPr>
        <w:t xml:space="preserve">Management is responsible for the other information. The other information </w:t>
      </w:r>
      <w:proofErr w:type="gramStart"/>
      <w:r w:rsidRPr="002E0AD0">
        <w:rPr>
          <w:rFonts w:ascii="Calibri" w:eastAsia="MS UI Gothic" w:hAnsi="Calibri" w:cs="Calibri"/>
          <w:iCs/>
          <w:color w:val="auto"/>
          <w:kern w:val="20"/>
          <w:lang w:bidi="he-IL"/>
        </w:rPr>
        <w:t>comprise</w:t>
      </w:r>
      <w:proofErr w:type="gramEnd"/>
      <w:r w:rsidRPr="002E0AD0">
        <w:rPr>
          <w:rFonts w:ascii="Calibri" w:eastAsia="MS UI Gothic" w:hAnsi="Calibri" w:cs="Calibri"/>
          <w:iCs/>
          <w:color w:val="auto"/>
          <w:kern w:val="20"/>
          <w:lang w:bidi="he-IL"/>
        </w:rPr>
        <w:t xml:space="preserve"> the information included in annual report of the </w:t>
      </w:r>
      <w:proofErr w:type="gramStart"/>
      <w:r w:rsidRPr="002E0AD0">
        <w:rPr>
          <w:rFonts w:ascii="Calibri" w:eastAsia="MS UI Gothic" w:hAnsi="Calibri" w:cs="Calibri"/>
          <w:iCs/>
          <w:color w:val="auto"/>
          <w:kern w:val="20"/>
          <w:lang w:bidi="he-IL"/>
        </w:rPr>
        <w:t>Group, but</w:t>
      </w:r>
      <w:proofErr w:type="gramEnd"/>
      <w:r w:rsidRPr="002E0AD0">
        <w:rPr>
          <w:rFonts w:ascii="Calibri" w:eastAsia="MS UI Gothic" w:hAnsi="Calibri" w:cs="Calibri"/>
          <w:iCs/>
          <w:color w:val="auto"/>
          <w:kern w:val="20"/>
          <w:lang w:bidi="he-IL"/>
        </w:rPr>
        <w:t xml:space="preserve"> does not include the financial statements and my auditor’s report thereon. The annual report of the Group is expected to be made available to me after the date of this auditor’s report.</w:t>
      </w:r>
    </w:p>
    <w:p w14:paraId="54E11D2A" w14:textId="77777777" w:rsidR="00733D0E" w:rsidRPr="002E0AD0" w:rsidRDefault="00733D0E" w:rsidP="00E95954">
      <w:pPr>
        <w:pStyle w:val="ps-000-normal"/>
        <w:spacing w:after="0"/>
        <w:jc w:val="thaiDistribute"/>
        <w:rPr>
          <w:rFonts w:ascii="Calibri" w:eastAsia="MS UI Gothic" w:hAnsi="Calibri" w:cs="Calibri"/>
          <w:iCs/>
          <w:color w:val="auto"/>
          <w:kern w:val="20"/>
          <w:lang w:bidi="he-IL"/>
        </w:rPr>
      </w:pPr>
    </w:p>
    <w:p w14:paraId="07D1210B" w14:textId="77777777" w:rsidR="000138DD" w:rsidRPr="002E0AD0" w:rsidRDefault="000138DD" w:rsidP="00E95954">
      <w:pPr>
        <w:pStyle w:val="ps-000-normal"/>
        <w:spacing w:after="0"/>
        <w:jc w:val="thaiDistribute"/>
        <w:rPr>
          <w:rFonts w:ascii="Calibri" w:eastAsia="MS UI Gothic" w:hAnsi="Calibri" w:cs="Calibri"/>
          <w:iCs/>
          <w:color w:val="auto"/>
          <w:kern w:val="20"/>
          <w:lang w:bidi="he-IL"/>
        </w:rPr>
      </w:pPr>
      <w:r w:rsidRPr="002E0AD0">
        <w:rPr>
          <w:rFonts w:ascii="Calibri" w:eastAsia="MS UI Gothic" w:hAnsi="Calibri" w:cs="Calibri"/>
          <w:iCs/>
          <w:color w:val="auto"/>
          <w:kern w:val="20"/>
          <w:lang w:bidi="he-IL"/>
        </w:rPr>
        <w:t xml:space="preserve">My opinion on the financial statements does not cover </w:t>
      </w:r>
      <w:proofErr w:type="gramStart"/>
      <w:r w:rsidRPr="002E0AD0">
        <w:rPr>
          <w:rFonts w:ascii="Calibri" w:eastAsia="MS UI Gothic" w:hAnsi="Calibri" w:cs="Calibri"/>
          <w:iCs/>
          <w:color w:val="auto"/>
          <w:kern w:val="20"/>
          <w:lang w:bidi="he-IL"/>
        </w:rPr>
        <w:t>the</w:t>
      </w:r>
      <w:proofErr w:type="gramEnd"/>
      <w:r w:rsidRPr="002E0AD0">
        <w:rPr>
          <w:rFonts w:ascii="Calibri" w:eastAsia="MS UI Gothic" w:hAnsi="Calibri" w:cs="Calibri"/>
          <w:iCs/>
          <w:color w:val="auto"/>
          <w:kern w:val="20"/>
          <w:lang w:bidi="he-IL"/>
        </w:rPr>
        <w:t xml:space="preserve"> other information and I do not express any form of assurance conclusion thereon.</w:t>
      </w:r>
    </w:p>
    <w:p w14:paraId="31126E5D" w14:textId="77777777" w:rsidR="005917C2" w:rsidRPr="002E0AD0" w:rsidRDefault="005917C2" w:rsidP="00E95954">
      <w:pPr>
        <w:pStyle w:val="ps-000-normal"/>
        <w:spacing w:after="0"/>
        <w:jc w:val="thaiDistribute"/>
        <w:rPr>
          <w:rFonts w:ascii="Calibri" w:eastAsia="MS UI Gothic" w:hAnsi="Calibri" w:cs="Calibri"/>
          <w:iCs/>
          <w:color w:val="auto"/>
          <w:kern w:val="20"/>
          <w:lang w:bidi="he-IL"/>
        </w:rPr>
      </w:pPr>
    </w:p>
    <w:p w14:paraId="73E02E7E" w14:textId="77777777" w:rsidR="000138DD" w:rsidRPr="002E0AD0" w:rsidRDefault="000138DD" w:rsidP="00E95954">
      <w:pPr>
        <w:spacing w:line="240" w:lineRule="auto"/>
        <w:jc w:val="thaiDistribute"/>
        <w:rPr>
          <w:rFonts w:ascii="Calibri" w:eastAsia="MS UI Gothic" w:hAnsi="Calibri" w:cs="Calibri"/>
          <w:kern w:val="20"/>
          <w:sz w:val="20"/>
          <w:szCs w:val="20"/>
          <w:lang w:bidi="he-IL"/>
        </w:rPr>
      </w:pPr>
      <w:r w:rsidRPr="002E0AD0">
        <w:rPr>
          <w:rFonts w:ascii="Calibri" w:eastAsia="MS UI Gothic" w:hAnsi="Calibri" w:cs="Calibri"/>
          <w:kern w:val="20"/>
          <w:sz w:val="20"/>
          <w:szCs w:val="20"/>
          <w:lang w:bidi="he-IL"/>
        </w:rPr>
        <w:t>In connection with my audit of the financial statements, my responsibility is to read the other information and, in doing so, consider whether the other information is materially inconsistent with the financial statements or my knowledge obtained in the audit or otherwise appears to be materially misstated.</w:t>
      </w:r>
    </w:p>
    <w:p w14:paraId="2DE403A5" w14:textId="77777777" w:rsidR="00015EE1" w:rsidRPr="002E0AD0" w:rsidRDefault="00015EE1" w:rsidP="00E95954">
      <w:pPr>
        <w:spacing w:line="240" w:lineRule="auto"/>
        <w:jc w:val="thaiDistribute"/>
        <w:rPr>
          <w:rFonts w:ascii="Calibri" w:eastAsia="MS UI Gothic" w:hAnsi="Calibri" w:cs="Calibri"/>
          <w:kern w:val="20"/>
          <w:sz w:val="20"/>
          <w:szCs w:val="20"/>
          <w:lang w:bidi="he-IL"/>
        </w:rPr>
      </w:pPr>
    </w:p>
    <w:p w14:paraId="4E3E1C96" w14:textId="77777777" w:rsidR="000138DD" w:rsidRPr="002E0AD0" w:rsidRDefault="000138DD" w:rsidP="00E95954">
      <w:pPr>
        <w:pStyle w:val="ps-000-normal"/>
        <w:spacing w:after="0"/>
        <w:jc w:val="thaiDistribute"/>
        <w:rPr>
          <w:rFonts w:ascii="Calibri" w:eastAsia="MS UI Gothic" w:hAnsi="Calibri" w:cs="Calibri"/>
          <w:color w:val="auto"/>
          <w:kern w:val="20"/>
          <w:lang w:bidi="he-IL"/>
        </w:rPr>
      </w:pPr>
      <w:r w:rsidRPr="002E0AD0">
        <w:rPr>
          <w:rFonts w:ascii="Calibri" w:eastAsia="MS UI Gothic" w:hAnsi="Calibri" w:cs="Calibri"/>
          <w:color w:val="auto"/>
          <w:kern w:val="20"/>
          <w:lang w:bidi="he-IL"/>
        </w:rPr>
        <w:t xml:space="preserve">When I read the annual report of the Group, if I conclude that there is a material </w:t>
      </w:r>
      <w:proofErr w:type="gramStart"/>
      <w:r w:rsidRPr="002E0AD0">
        <w:rPr>
          <w:rFonts w:ascii="Calibri" w:eastAsia="MS UI Gothic" w:hAnsi="Calibri" w:cs="Calibri"/>
          <w:color w:val="auto"/>
          <w:kern w:val="20"/>
          <w:lang w:bidi="he-IL"/>
        </w:rPr>
        <w:t>misstatement</w:t>
      </w:r>
      <w:proofErr w:type="gramEnd"/>
      <w:r w:rsidRPr="002E0AD0">
        <w:rPr>
          <w:rFonts w:ascii="Calibri" w:eastAsia="MS UI Gothic" w:hAnsi="Calibri" w:cs="Calibri"/>
          <w:color w:val="auto"/>
          <w:kern w:val="20"/>
          <w:lang w:bidi="he-IL"/>
        </w:rPr>
        <w:t xml:space="preserve"> therein,</w:t>
      </w:r>
      <w:r w:rsidR="005E5A05" w:rsidRPr="002E0AD0">
        <w:rPr>
          <w:rFonts w:ascii="Calibri" w:eastAsia="MS UI Gothic" w:hAnsi="Calibri" w:cs="Calibri"/>
          <w:color w:val="auto"/>
          <w:kern w:val="20"/>
          <w:lang w:bidi="he-IL"/>
        </w:rPr>
        <w:t xml:space="preserve"> </w:t>
      </w:r>
      <w:r w:rsidRPr="002E0AD0">
        <w:rPr>
          <w:rFonts w:ascii="Calibri" w:eastAsia="MS UI Gothic" w:hAnsi="Calibri" w:cs="Calibri"/>
          <w:color w:val="auto"/>
          <w:kern w:val="20"/>
          <w:lang w:bidi="he-IL"/>
        </w:rPr>
        <w:t>I am required to communicate the matter to those charged with governance for correction of the misstatement.</w:t>
      </w:r>
    </w:p>
    <w:p w14:paraId="62431CDC" w14:textId="77777777" w:rsidR="00680978" w:rsidRPr="002E0AD0" w:rsidRDefault="00680978" w:rsidP="00E95954">
      <w:pPr>
        <w:spacing w:line="240" w:lineRule="auto"/>
        <w:jc w:val="thaiDistribute"/>
        <w:outlineLvl w:val="0"/>
        <w:rPr>
          <w:rFonts w:ascii="Calibri" w:eastAsia="MS UI Gothic" w:hAnsi="Calibri" w:cs="Calibri"/>
          <w:b/>
          <w:bCs/>
          <w:sz w:val="20"/>
          <w:szCs w:val="20"/>
        </w:rPr>
      </w:pPr>
    </w:p>
    <w:p w14:paraId="01EACEC1" w14:textId="77777777" w:rsidR="000138DD" w:rsidRPr="006369A3" w:rsidRDefault="000138DD" w:rsidP="00E95954">
      <w:pPr>
        <w:spacing w:line="240" w:lineRule="auto"/>
        <w:jc w:val="thaiDistribute"/>
        <w:outlineLvl w:val="0"/>
        <w:rPr>
          <w:rFonts w:ascii="Calibri" w:eastAsia="MS UI Gothic" w:hAnsi="Calibri" w:cs="Calibri"/>
          <w:b/>
          <w:bCs/>
          <w:spacing w:val="-3"/>
          <w:sz w:val="20"/>
          <w:szCs w:val="20"/>
        </w:rPr>
      </w:pPr>
      <w:r w:rsidRPr="006369A3">
        <w:rPr>
          <w:rFonts w:ascii="Calibri" w:eastAsia="MS UI Gothic" w:hAnsi="Calibri" w:cs="Calibri"/>
          <w:b/>
          <w:bCs/>
          <w:spacing w:val="-3"/>
          <w:sz w:val="20"/>
          <w:szCs w:val="20"/>
        </w:rPr>
        <w:t>R</w:t>
      </w:r>
      <w:r w:rsidR="00873C3E" w:rsidRPr="006369A3">
        <w:rPr>
          <w:rFonts w:ascii="Calibri" w:eastAsia="MS UI Gothic" w:hAnsi="Calibri" w:cs="Calibri"/>
          <w:b/>
          <w:bCs/>
          <w:spacing w:val="-3"/>
          <w:sz w:val="20"/>
          <w:szCs w:val="20"/>
        </w:rPr>
        <w:t>ESPONSIBILITIES OF MANAGEMENT AND THOSE CHARGED WITH GOVERNANCE FOR THE FINANCIAL STATEMENTS</w:t>
      </w:r>
    </w:p>
    <w:p w14:paraId="49E398E2" w14:textId="77777777" w:rsidR="000138DD" w:rsidRPr="002E0AD0" w:rsidRDefault="000138DD" w:rsidP="00E95954">
      <w:pPr>
        <w:spacing w:line="240" w:lineRule="auto"/>
        <w:jc w:val="thaiDistribute"/>
        <w:outlineLvl w:val="0"/>
        <w:rPr>
          <w:rFonts w:ascii="Calibri" w:eastAsia="MS UI Gothic" w:hAnsi="Calibri" w:cs="Calibri"/>
          <w:b/>
          <w:bCs/>
          <w:sz w:val="20"/>
          <w:szCs w:val="20"/>
        </w:rPr>
      </w:pPr>
    </w:p>
    <w:p w14:paraId="26696CA3" w14:textId="77777777" w:rsidR="000138DD" w:rsidRPr="002E0AD0" w:rsidRDefault="000138DD" w:rsidP="00E95954">
      <w:pPr>
        <w:pStyle w:val="ps-000-normal"/>
        <w:spacing w:after="0"/>
        <w:jc w:val="thaiDistribute"/>
        <w:rPr>
          <w:rFonts w:ascii="Calibri" w:eastAsia="MS UI Gothic" w:hAnsi="Calibri" w:cs="Calibri"/>
          <w:color w:val="auto"/>
          <w:kern w:val="20"/>
          <w:lang w:bidi="he-IL"/>
        </w:rPr>
      </w:pPr>
      <w:r w:rsidRPr="002E0AD0">
        <w:rPr>
          <w:rFonts w:ascii="Calibri" w:eastAsia="MS UI Gothic" w:hAnsi="Calibri" w:cs="Calibri"/>
          <w:color w:val="auto"/>
          <w:kern w:val="20"/>
          <w:lang w:bidi="he-IL"/>
        </w:rPr>
        <w:t>Management is responsible for the preparation and fair presentation of the financial statements in accordance with Thai Financial Reporting Standards, and for such internal control as management determines is necessary to enable the preparation of financial statements that are free from material misstatement, whether due to fraud or error.</w:t>
      </w:r>
    </w:p>
    <w:p w14:paraId="16287F21" w14:textId="77777777" w:rsidR="00015EE1" w:rsidRPr="002E0AD0" w:rsidRDefault="00015EE1" w:rsidP="00E95954">
      <w:pPr>
        <w:pStyle w:val="ps-000-normal"/>
        <w:spacing w:after="0"/>
        <w:jc w:val="thaiDistribute"/>
        <w:rPr>
          <w:rFonts w:ascii="Calibri" w:eastAsia="MS UI Gothic" w:hAnsi="Calibri" w:cs="Calibri"/>
          <w:color w:val="auto"/>
          <w:kern w:val="20"/>
          <w:lang w:bidi="he-IL"/>
        </w:rPr>
      </w:pPr>
    </w:p>
    <w:p w14:paraId="4E499D1F" w14:textId="77777777" w:rsidR="00015EE1" w:rsidRPr="002E0AD0" w:rsidRDefault="00733D0E" w:rsidP="00E95954">
      <w:pPr>
        <w:pStyle w:val="ps-000-normal"/>
        <w:spacing w:after="0"/>
        <w:jc w:val="thaiDistribute"/>
        <w:rPr>
          <w:rFonts w:ascii="Calibri" w:eastAsia="MS UI Gothic" w:hAnsi="Calibri" w:cs="Calibri"/>
          <w:color w:val="auto"/>
          <w:kern w:val="20"/>
          <w:lang w:bidi="he-IL"/>
        </w:rPr>
      </w:pPr>
      <w:r w:rsidRPr="002E0AD0">
        <w:rPr>
          <w:rFonts w:ascii="Calibri" w:eastAsia="MS UI Gothic" w:hAnsi="Calibri" w:cs="Calibri"/>
          <w:color w:val="auto"/>
          <w:kern w:val="20"/>
          <w:lang w:bidi="he-IL"/>
        </w:rPr>
        <w:t>In preparin</w:t>
      </w:r>
      <w:r w:rsidR="003C1495" w:rsidRPr="002E0AD0">
        <w:rPr>
          <w:rFonts w:ascii="Calibri" w:eastAsia="MS UI Gothic" w:hAnsi="Calibri" w:cs="Calibri"/>
          <w:color w:val="auto"/>
          <w:kern w:val="20"/>
          <w:lang w:bidi="he-IL"/>
        </w:rPr>
        <w:t xml:space="preserve">g the </w:t>
      </w:r>
      <w:r w:rsidRPr="002E0AD0">
        <w:rPr>
          <w:rFonts w:ascii="Calibri" w:eastAsia="MS UI Gothic" w:hAnsi="Calibri" w:cs="Calibri"/>
          <w:color w:val="auto"/>
          <w:kern w:val="20"/>
          <w:lang w:bidi="he-IL"/>
        </w:rPr>
        <w:t>financial statements, management is responsible for assessing the Group’s ability to continue as a going concern, disclosing, as applicable, matters related to going concern and using the going concern basis of accounting unless management either intends to liquidate the Group or to cease operations, or has no realistic alternative but to do so.</w:t>
      </w:r>
    </w:p>
    <w:p w14:paraId="5BE93A62" w14:textId="77777777" w:rsidR="00733D0E" w:rsidRPr="002E0AD0" w:rsidRDefault="00733D0E" w:rsidP="00E95954">
      <w:pPr>
        <w:pStyle w:val="ps-000-normal"/>
        <w:spacing w:after="0"/>
        <w:jc w:val="thaiDistribute"/>
        <w:rPr>
          <w:rFonts w:ascii="Calibri" w:eastAsia="MS UI Gothic" w:hAnsi="Calibri" w:cs="Calibri"/>
          <w:color w:val="auto"/>
          <w:kern w:val="20"/>
          <w:lang w:bidi="he-IL"/>
        </w:rPr>
      </w:pPr>
    </w:p>
    <w:p w14:paraId="29F0869A" w14:textId="77777777" w:rsidR="000138DD" w:rsidRPr="002E0AD0" w:rsidRDefault="000138DD" w:rsidP="00E95954">
      <w:pPr>
        <w:pStyle w:val="ps-000-normal"/>
        <w:spacing w:after="0"/>
        <w:jc w:val="thaiDistribute"/>
        <w:rPr>
          <w:rFonts w:ascii="Calibri" w:eastAsia="MS UI Gothic" w:hAnsi="Calibri" w:cs="Calibri"/>
          <w:color w:val="auto"/>
          <w:kern w:val="20"/>
          <w:lang w:bidi="he-IL"/>
        </w:rPr>
      </w:pPr>
      <w:r w:rsidRPr="002E0AD0">
        <w:rPr>
          <w:rFonts w:ascii="Calibri" w:eastAsia="MS UI Gothic" w:hAnsi="Calibri" w:cs="Calibri"/>
          <w:color w:val="auto"/>
          <w:kern w:val="20"/>
          <w:lang w:bidi="he-IL"/>
        </w:rPr>
        <w:t xml:space="preserve">Those charged with governance are responsible for overseeing the Group’s financial reporting process. </w:t>
      </w:r>
    </w:p>
    <w:p w14:paraId="384BA73E" w14:textId="77777777" w:rsidR="00015EE1" w:rsidRPr="002E0AD0" w:rsidRDefault="00015EE1" w:rsidP="00E95954">
      <w:pPr>
        <w:pStyle w:val="ps-000-normal"/>
        <w:spacing w:after="0"/>
        <w:jc w:val="thaiDistribute"/>
        <w:rPr>
          <w:rFonts w:ascii="Calibri" w:eastAsia="MS UI Gothic" w:hAnsi="Calibri" w:cs="Calibri"/>
          <w:color w:val="auto"/>
          <w:kern w:val="20"/>
          <w:lang w:bidi="he-IL"/>
        </w:rPr>
      </w:pPr>
    </w:p>
    <w:p w14:paraId="0D584E2A" w14:textId="77777777" w:rsidR="000138DD" w:rsidRPr="002E0AD0" w:rsidRDefault="000138DD" w:rsidP="00E95954">
      <w:pPr>
        <w:pStyle w:val="ps-000-normal"/>
        <w:spacing w:after="0"/>
        <w:jc w:val="thaiDistribute"/>
        <w:rPr>
          <w:rFonts w:ascii="Calibri" w:eastAsia="MS UI Gothic" w:hAnsi="Calibri" w:cs="Calibri"/>
          <w:b/>
          <w:bCs/>
          <w:color w:val="auto"/>
        </w:rPr>
      </w:pPr>
      <w:r w:rsidRPr="002E0AD0">
        <w:rPr>
          <w:rFonts w:ascii="Calibri" w:eastAsia="MS UI Gothic" w:hAnsi="Calibri" w:cs="Calibri"/>
          <w:b/>
          <w:bCs/>
          <w:color w:val="auto"/>
        </w:rPr>
        <w:t>A</w:t>
      </w:r>
      <w:r w:rsidR="00873C3E" w:rsidRPr="002E0AD0">
        <w:rPr>
          <w:rFonts w:ascii="Calibri" w:eastAsia="MS UI Gothic" w:hAnsi="Calibri" w:cs="Calibri"/>
          <w:b/>
          <w:bCs/>
          <w:color w:val="auto"/>
        </w:rPr>
        <w:t>UDITOR’S RESPONSIBILITIES FOR THE AUDIT OF THE FINANCIAL STATEMENTS</w:t>
      </w:r>
    </w:p>
    <w:p w14:paraId="34B3F2EB" w14:textId="77777777" w:rsidR="00733D0E" w:rsidRPr="002E0AD0" w:rsidRDefault="00733D0E" w:rsidP="00E95954">
      <w:pPr>
        <w:pStyle w:val="ps-000-normal"/>
        <w:spacing w:after="0"/>
        <w:jc w:val="thaiDistribute"/>
        <w:rPr>
          <w:rFonts w:ascii="Calibri" w:eastAsia="MS UI Gothic" w:hAnsi="Calibri" w:cs="Calibri"/>
          <w:b/>
          <w:bCs/>
          <w:color w:val="auto"/>
        </w:rPr>
      </w:pPr>
    </w:p>
    <w:p w14:paraId="3173E5CE" w14:textId="77777777" w:rsidR="000138DD" w:rsidRPr="002E0AD0" w:rsidRDefault="000138DD" w:rsidP="00E95954">
      <w:pPr>
        <w:pStyle w:val="ps-000-normal"/>
        <w:spacing w:after="0"/>
        <w:jc w:val="thaiDistribute"/>
        <w:rPr>
          <w:rFonts w:ascii="Calibri" w:eastAsia="MS UI Gothic" w:hAnsi="Calibri" w:cs="Calibri"/>
          <w:color w:val="auto"/>
          <w:kern w:val="20"/>
          <w:lang w:bidi="he-IL"/>
        </w:rPr>
      </w:pPr>
      <w:r w:rsidRPr="002E0AD0">
        <w:rPr>
          <w:rFonts w:ascii="Calibri" w:eastAsia="MS UI Gothic" w:hAnsi="Calibri" w:cs="Calibri"/>
          <w:color w:val="auto"/>
          <w:kern w:val="20"/>
          <w:lang w:bidi="he-IL"/>
        </w:rPr>
        <w:t xml:space="preserve">My objectives are to obtain reasonable assurance about whether the financial statements </w:t>
      </w:r>
      <w:proofErr w:type="gramStart"/>
      <w:r w:rsidRPr="002E0AD0">
        <w:rPr>
          <w:rFonts w:ascii="Calibri" w:eastAsia="MS UI Gothic" w:hAnsi="Calibri" w:cs="Calibri"/>
          <w:color w:val="auto"/>
          <w:kern w:val="20"/>
          <w:lang w:bidi="he-IL"/>
        </w:rPr>
        <w:t>as a whole are</w:t>
      </w:r>
      <w:proofErr w:type="gramEnd"/>
      <w:r w:rsidRPr="002E0AD0">
        <w:rPr>
          <w:rFonts w:ascii="Calibri" w:eastAsia="MS UI Gothic" w:hAnsi="Calibri" w:cs="Calibri"/>
          <w:color w:val="auto"/>
          <w:kern w:val="20"/>
          <w:lang w:bidi="he-IL"/>
        </w:rPr>
        <w:t xml:space="preserve"> free from material misstatement, whether due to fraud or error, and to issue an auditor’s report that includes my opinion. Reasonable assurance is a high level of </w:t>
      </w:r>
      <w:proofErr w:type="gramStart"/>
      <w:r w:rsidRPr="002E0AD0">
        <w:rPr>
          <w:rFonts w:ascii="Calibri" w:eastAsia="MS UI Gothic" w:hAnsi="Calibri" w:cs="Calibri"/>
          <w:color w:val="auto"/>
          <w:kern w:val="20"/>
          <w:lang w:bidi="he-IL"/>
        </w:rPr>
        <w:t>assurance, but</w:t>
      </w:r>
      <w:proofErr w:type="gramEnd"/>
      <w:r w:rsidRPr="002E0AD0">
        <w:rPr>
          <w:rFonts w:ascii="Calibri" w:eastAsia="MS UI Gothic" w:hAnsi="Calibri" w:cs="Calibri"/>
          <w:color w:val="auto"/>
          <w:kern w:val="20"/>
          <w:lang w:bidi="he-IL"/>
        </w:rPr>
        <w:t xml:space="preserve"> is not a guarantee that an audit conducted in accordance with Thai Standards on Auditing will always detect a material misstatement when it exists. Misstatements can arise from fraud or error and are considered material if, individually or in the aggregate, they could reasonably be expected to influence the economic decisions of users taken </w:t>
      </w:r>
      <w:proofErr w:type="gramStart"/>
      <w:r w:rsidRPr="002E0AD0">
        <w:rPr>
          <w:rFonts w:ascii="Calibri" w:eastAsia="MS UI Gothic" w:hAnsi="Calibri" w:cs="Calibri"/>
          <w:color w:val="auto"/>
          <w:kern w:val="20"/>
          <w:lang w:bidi="he-IL"/>
        </w:rPr>
        <w:t>on the basis of</w:t>
      </w:r>
      <w:proofErr w:type="gramEnd"/>
      <w:r w:rsidRPr="002E0AD0">
        <w:rPr>
          <w:rFonts w:ascii="Calibri" w:eastAsia="MS UI Gothic" w:hAnsi="Calibri" w:cs="Calibri"/>
          <w:color w:val="auto"/>
          <w:kern w:val="20"/>
          <w:lang w:bidi="he-IL"/>
        </w:rPr>
        <w:t xml:space="preserve"> these financial statements. </w:t>
      </w:r>
    </w:p>
    <w:p w14:paraId="7D34F5C7" w14:textId="77777777" w:rsidR="007D0BBD" w:rsidRPr="002E0AD0" w:rsidRDefault="007D0BBD" w:rsidP="00E95954">
      <w:pPr>
        <w:pStyle w:val="ps-000-normal"/>
        <w:spacing w:after="0"/>
        <w:jc w:val="thaiDistribute"/>
        <w:rPr>
          <w:rFonts w:ascii="Calibri" w:eastAsia="MS UI Gothic" w:hAnsi="Calibri" w:cs="Calibri"/>
          <w:color w:val="auto"/>
          <w:kern w:val="20"/>
          <w:lang w:bidi="he-IL"/>
        </w:rPr>
      </w:pPr>
    </w:p>
    <w:p w14:paraId="088E883C" w14:textId="77777777" w:rsidR="000138DD" w:rsidRPr="002E0AD0" w:rsidRDefault="000138DD" w:rsidP="00E95954">
      <w:pPr>
        <w:pStyle w:val="ps-000-normal"/>
        <w:spacing w:after="0"/>
        <w:jc w:val="thaiDistribute"/>
        <w:rPr>
          <w:rFonts w:ascii="Calibri" w:eastAsia="MS UI Gothic" w:hAnsi="Calibri" w:cs="Calibri"/>
          <w:color w:val="auto"/>
          <w:kern w:val="20"/>
          <w:lang w:bidi="he-IL"/>
        </w:rPr>
      </w:pPr>
      <w:r w:rsidRPr="002E0AD0">
        <w:rPr>
          <w:rFonts w:ascii="Calibri" w:eastAsia="MS UI Gothic" w:hAnsi="Calibri" w:cs="Calibri"/>
          <w:color w:val="auto"/>
          <w:kern w:val="20"/>
          <w:lang w:bidi="he-IL"/>
        </w:rPr>
        <w:t>As part of an audit in accordance with Thai Standards on Auditin</w:t>
      </w:r>
      <w:r w:rsidR="0008275E" w:rsidRPr="002E0AD0">
        <w:rPr>
          <w:rFonts w:ascii="Calibri" w:eastAsia="MS UI Gothic" w:hAnsi="Calibri" w:cs="Calibri"/>
          <w:color w:val="auto"/>
          <w:kern w:val="20"/>
          <w:lang w:bidi="he-IL"/>
        </w:rPr>
        <w:t>g, I exercise professional judg</w:t>
      </w:r>
      <w:r w:rsidRPr="002E0AD0">
        <w:rPr>
          <w:rFonts w:ascii="Calibri" w:eastAsia="MS UI Gothic" w:hAnsi="Calibri" w:cs="Calibri"/>
          <w:color w:val="auto"/>
          <w:kern w:val="20"/>
          <w:lang w:bidi="he-IL"/>
        </w:rPr>
        <w:t>ment and maintain professional skepticism throughout the audit. I also:</w:t>
      </w:r>
    </w:p>
    <w:p w14:paraId="0B4020A7" w14:textId="77777777" w:rsidR="007A6E0C" w:rsidRPr="002E0AD0" w:rsidRDefault="007A6E0C" w:rsidP="00E95954">
      <w:pPr>
        <w:pStyle w:val="ps-000-normal"/>
        <w:spacing w:after="0"/>
        <w:jc w:val="thaiDistribute"/>
        <w:rPr>
          <w:rFonts w:ascii="Calibri" w:eastAsia="MS UI Gothic" w:hAnsi="Calibri" w:cs="Calibri"/>
          <w:color w:val="auto"/>
          <w:kern w:val="20"/>
          <w:lang w:bidi="he-IL"/>
        </w:rPr>
      </w:pPr>
    </w:p>
    <w:p w14:paraId="157A8F94" w14:textId="77777777" w:rsidR="000138DD" w:rsidRPr="002E0AD0" w:rsidRDefault="000138DD" w:rsidP="00E95954">
      <w:pPr>
        <w:pStyle w:val="ps-000-normal"/>
        <w:numPr>
          <w:ilvl w:val="0"/>
          <w:numId w:val="19"/>
        </w:numPr>
        <w:spacing w:after="0"/>
        <w:jc w:val="thaiDistribute"/>
        <w:rPr>
          <w:rFonts w:ascii="Calibri" w:eastAsia="MS UI Gothic" w:hAnsi="Calibri" w:cs="Calibri"/>
          <w:color w:val="auto"/>
          <w:kern w:val="20"/>
          <w:lang w:bidi="he-IL"/>
        </w:rPr>
      </w:pPr>
      <w:r w:rsidRPr="002E0AD0">
        <w:rPr>
          <w:rFonts w:ascii="Calibri" w:eastAsia="MS UI Gothic" w:hAnsi="Calibri" w:cs="Calibri"/>
          <w:color w:val="auto"/>
          <w:kern w:val="20"/>
          <w:lang w:bidi="he-IL"/>
        </w:rPr>
        <w:t xml:space="preserve">Identify and assess the risks of material misstatement of the financial statements, whether due to fraud or error, design and perform audit procedures responsive to those risks, and obtain audit evidence that is sufficient and appropriate to provide a basis for my opinion. The risk of not detecting a material misstatement resulting from fraud is higher than for one resulting from error, as fraud may involve collusion, forgery, intentional omissions, misrepresentations, or the override of internal control. </w:t>
      </w:r>
    </w:p>
    <w:p w14:paraId="674F924F" w14:textId="77777777" w:rsidR="000138DD" w:rsidRPr="002E0AD0" w:rsidRDefault="000138DD" w:rsidP="00E95954">
      <w:pPr>
        <w:pStyle w:val="ps-000-normal"/>
        <w:numPr>
          <w:ilvl w:val="0"/>
          <w:numId w:val="19"/>
        </w:numPr>
        <w:spacing w:after="0"/>
        <w:jc w:val="thaiDistribute"/>
        <w:rPr>
          <w:rFonts w:ascii="Calibri" w:eastAsia="MS UI Gothic" w:hAnsi="Calibri" w:cs="Calibri"/>
          <w:color w:val="auto"/>
          <w:kern w:val="20"/>
          <w:lang w:bidi="he-IL"/>
        </w:rPr>
      </w:pPr>
      <w:r w:rsidRPr="002E0AD0">
        <w:rPr>
          <w:rFonts w:ascii="Calibri" w:eastAsia="MS UI Gothic" w:hAnsi="Calibri" w:cs="Calibri"/>
          <w:color w:val="auto"/>
          <w:kern w:val="20"/>
          <w:lang w:bidi="he-IL"/>
        </w:rPr>
        <w:t xml:space="preserve">Obtain an understanding of internal control relevant to the audit </w:t>
      </w:r>
      <w:proofErr w:type="gramStart"/>
      <w:r w:rsidRPr="002E0AD0">
        <w:rPr>
          <w:rFonts w:ascii="Calibri" w:eastAsia="MS UI Gothic" w:hAnsi="Calibri" w:cs="Calibri"/>
          <w:color w:val="auto"/>
          <w:kern w:val="20"/>
          <w:lang w:bidi="he-IL"/>
        </w:rPr>
        <w:t>in order to</w:t>
      </w:r>
      <w:proofErr w:type="gramEnd"/>
      <w:r w:rsidRPr="002E0AD0">
        <w:rPr>
          <w:rFonts w:ascii="Calibri" w:eastAsia="MS UI Gothic" w:hAnsi="Calibri" w:cs="Calibri"/>
          <w:color w:val="auto"/>
          <w:kern w:val="20"/>
          <w:lang w:bidi="he-IL"/>
        </w:rPr>
        <w:t xml:space="preserve"> design audit procedures that are appropriate in the circumstances, but not for the purpose of expressing an opinion on </w:t>
      </w:r>
      <w:r w:rsidR="003C1495" w:rsidRPr="002E0AD0">
        <w:rPr>
          <w:rFonts w:ascii="Calibri" w:eastAsia="MS UI Gothic" w:hAnsi="Calibri" w:cs="Calibri"/>
          <w:color w:val="auto"/>
          <w:kern w:val="20"/>
          <w:lang w:bidi="he-IL"/>
        </w:rPr>
        <w:t xml:space="preserve">the effectiveness of </w:t>
      </w:r>
      <w:proofErr w:type="gramStart"/>
      <w:r w:rsidR="003C1495" w:rsidRPr="002E0AD0">
        <w:rPr>
          <w:rFonts w:ascii="Calibri" w:eastAsia="MS UI Gothic" w:hAnsi="Calibri" w:cs="Calibri"/>
          <w:color w:val="auto"/>
          <w:kern w:val="20"/>
          <w:lang w:bidi="he-IL"/>
        </w:rPr>
        <w:t>the</w:t>
      </w:r>
      <w:r w:rsidRPr="002E0AD0">
        <w:rPr>
          <w:rFonts w:ascii="Calibri" w:eastAsia="MS UI Gothic" w:hAnsi="Calibri" w:cs="Calibri"/>
          <w:color w:val="auto"/>
          <w:kern w:val="20"/>
          <w:lang w:bidi="he-IL"/>
        </w:rPr>
        <w:t xml:space="preserve"> internal</w:t>
      </w:r>
      <w:proofErr w:type="gramEnd"/>
      <w:r w:rsidRPr="002E0AD0">
        <w:rPr>
          <w:rFonts w:ascii="Calibri" w:eastAsia="MS UI Gothic" w:hAnsi="Calibri" w:cs="Calibri"/>
          <w:color w:val="auto"/>
          <w:kern w:val="20"/>
          <w:lang w:bidi="he-IL"/>
        </w:rPr>
        <w:t xml:space="preserve"> control.</w:t>
      </w:r>
    </w:p>
    <w:p w14:paraId="14A4A9C1" w14:textId="77777777" w:rsidR="000138DD" w:rsidRDefault="000138DD" w:rsidP="00E95954">
      <w:pPr>
        <w:pStyle w:val="ps-000-normal"/>
        <w:numPr>
          <w:ilvl w:val="0"/>
          <w:numId w:val="19"/>
        </w:numPr>
        <w:spacing w:after="0"/>
        <w:jc w:val="thaiDistribute"/>
        <w:rPr>
          <w:rFonts w:ascii="Calibri" w:eastAsia="MS UI Gothic" w:hAnsi="Calibri" w:cs="Calibri"/>
          <w:color w:val="auto"/>
          <w:kern w:val="20"/>
          <w:lang w:bidi="he-IL"/>
        </w:rPr>
      </w:pPr>
      <w:r w:rsidRPr="002E0AD0">
        <w:rPr>
          <w:rFonts w:ascii="Calibri" w:eastAsia="MS UI Gothic" w:hAnsi="Calibri" w:cs="Calibri"/>
          <w:color w:val="auto"/>
          <w:kern w:val="20"/>
          <w:lang w:bidi="he-IL"/>
        </w:rPr>
        <w:t>Evaluate the appropriateness of accounting policies used and the reasonableness of accounting estimates and related disclosures made by management.</w:t>
      </w:r>
    </w:p>
    <w:p w14:paraId="1D7B270A" w14:textId="77777777" w:rsidR="004C3979" w:rsidRDefault="004C3979" w:rsidP="004C3979">
      <w:pPr>
        <w:pStyle w:val="ps-000-normal"/>
        <w:spacing w:after="0"/>
        <w:jc w:val="thaiDistribute"/>
        <w:rPr>
          <w:rFonts w:ascii="Calibri" w:eastAsia="MS UI Gothic" w:hAnsi="Calibri" w:cs="Calibri"/>
          <w:color w:val="auto"/>
          <w:kern w:val="20"/>
          <w:lang w:bidi="he-IL"/>
        </w:rPr>
      </w:pPr>
    </w:p>
    <w:p w14:paraId="4F904CB7" w14:textId="77777777" w:rsidR="00833078" w:rsidRDefault="00833078" w:rsidP="004C3979">
      <w:pPr>
        <w:pStyle w:val="ps-000-normal"/>
        <w:spacing w:after="0"/>
        <w:jc w:val="thaiDistribute"/>
        <w:rPr>
          <w:rFonts w:ascii="Calibri" w:eastAsia="MS UI Gothic" w:hAnsi="Calibri" w:cs="Calibri"/>
          <w:color w:val="auto"/>
          <w:kern w:val="20"/>
          <w:lang w:bidi="he-IL"/>
        </w:rPr>
      </w:pPr>
    </w:p>
    <w:p w14:paraId="06971CD3" w14:textId="77777777" w:rsidR="006369A3" w:rsidRDefault="006369A3" w:rsidP="004C3979">
      <w:pPr>
        <w:pStyle w:val="ps-000-normal"/>
        <w:spacing w:after="0"/>
        <w:jc w:val="thaiDistribute"/>
        <w:rPr>
          <w:rFonts w:ascii="Calibri" w:eastAsia="MS UI Gothic" w:hAnsi="Calibri" w:cs="Calibri"/>
          <w:color w:val="auto"/>
          <w:kern w:val="20"/>
          <w:lang w:bidi="he-IL"/>
        </w:rPr>
      </w:pPr>
    </w:p>
    <w:p w14:paraId="11DE74CC" w14:textId="77777777" w:rsidR="000138DD" w:rsidRPr="002E0AD0" w:rsidRDefault="000138DD" w:rsidP="00E95954">
      <w:pPr>
        <w:pStyle w:val="ps-000-normal"/>
        <w:numPr>
          <w:ilvl w:val="0"/>
          <w:numId w:val="19"/>
        </w:numPr>
        <w:spacing w:after="0"/>
        <w:jc w:val="thaiDistribute"/>
        <w:rPr>
          <w:rFonts w:ascii="Calibri" w:eastAsia="MS UI Gothic" w:hAnsi="Calibri" w:cs="Calibri"/>
          <w:color w:val="auto"/>
          <w:kern w:val="20"/>
          <w:lang w:bidi="he-IL"/>
        </w:rPr>
      </w:pPr>
      <w:r w:rsidRPr="002E0AD0">
        <w:rPr>
          <w:rFonts w:ascii="Calibri" w:eastAsia="MS UI Gothic" w:hAnsi="Calibri" w:cs="Calibri"/>
          <w:color w:val="auto"/>
          <w:kern w:val="20"/>
          <w:lang w:bidi="he-IL"/>
        </w:rPr>
        <w:lastRenderedPageBreak/>
        <w:t>Conclude on the appropriateness of management’s use of the going concern basis of accounting and, based on the audit evidence obtained, whether a material uncertainty exists related to events or conditions that may cast significant doubt on the Group’s ability to continue as a going concern. If I conclude that a material uncertainty exists, I am required to draw attention in my auditor’s report to the related disclosures in the financial statements or, if such disclosures are inadequate, to modify my opinion. My conclusions are based on the audit evidence obtained up to the date of my auditor’s report. However, future events or conditions may cause the Group to cease to continue as a going concern.</w:t>
      </w:r>
    </w:p>
    <w:p w14:paraId="6BA65885" w14:textId="77777777" w:rsidR="000138DD" w:rsidRPr="002E0AD0" w:rsidRDefault="000138DD" w:rsidP="00E95954">
      <w:pPr>
        <w:pStyle w:val="ps-000-normal"/>
        <w:numPr>
          <w:ilvl w:val="0"/>
          <w:numId w:val="19"/>
        </w:numPr>
        <w:spacing w:after="0"/>
        <w:jc w:val="thaiDistribute"/>
        <w:rPr>
          <w:rFonts w:ascii="Calibri" w:eastAsia="MS UI Gothic" w:hAnsi="Calibri" w:cs="Calibri"/>
          <w:color w:val="auto"/>
          <w:kern w:val="20"/>
          <w:lang w:bidi="he-IL"/>
        </w:rPr>
      </w:pPr>
      <w:r w:rsidRPr="002E0AD0">
        <w:rPr>
          <w:rFonts w:ascii="Calibri" w:eastAsia="MS UI Gothic" w:hAnsi="Calibri" w:cs="Calibri"/>
          <w:color w:val="auto"/>
          <w:kern w:val="20"/>
          <w:lang w:bidi="he-IL"/>
        </w:rPr>
        <w:t>Evaluate the overall presentation, structure and content of the financial statements, including the disclosures, and whether the financial statements represent the underlying transactions and events in a manner that achieves fair presentation.</w:t>
      </w:r>
    </w:p>
    <w:p w14:paraId="7CF9ADC6" w14:textId="77777777" w:rsidR="000138DD" w:rsidRPr="002E0AD0" w:rsidRDefault="000138DD" w:rsidP="00E95954">
      <w:pPr>
        <w:pStyle w:val="ps-000-normal"/>
        <w:numPr>
          <w:ilvl w:val="0"/>
          <w:numId w:val="19"/>
        </w:numPr>
        <w:spacing w:after="0"/>
        <w:jc w:val="thaiDistribute"/>
        <w:rPr>
          <w:rFonts w:ascii="Calibri" w:eastAsia="MS UI Gothic" w:hAnsi="Calibri" w:cs="Calibri"/>
          <w:color w:val="auto"/>
          <w:kern w:val="20"/>
          <w:lang w:bidi="he-IL"/>
        </w:rPr>
      </w:pPr>
      <w:r w:rsidRPr="002E0AD0">
        <w:rPr>
          <w:rFonts w:ascii="Calibri" w:eastAsia="MS UI Gothic" w:hAnsi="Calibri" w:cs="Calibri"/>
          <w:color w:val="auto"/>
          <w:kern w:val="20"/>
          <w:lang w:bidi="he-IL"/>
        </w:rPr>
        <w:t>Obtain sufficient appropriate audit evidence regarding the financial information of the entities or business activities within the Group to express an opinion on the consolidated financial statements. I am responsible for the direction, supervision and performance of the group audit. I remain solely responsible for my audit opinion.</w:t>
      </w:r>
    </w:p>
    <w:p w14:paraId="2A1F701D" w14:textId="77777777" w:rsidR="00733D0E" w:rsidRPr="00930CF5" w:rsidRDefault="00733D0E" w:rsidP="00E95954">
      <w:pPr>
        <w:pStyle w:val="ps-000-normal"/>
        <w:spacing w:after="0"/>
        <w:ind w:left="720"/>
        <w:jc w:val="thaiDistribute"/>
        <w:rPr>
          <w:rFonts w:ascii="Calibri" w:eastAsia="MS UI Gothic" w:hAnsi="Calibri" w:cs="Calibri"/>
          <w:color w:val="auto"/>
          <w:kern w:val="20"/>
          <w:sz w:val="16"/>
          <w:szCs w:val="16"/>
          <w:lang w:bidi="he-IL"/>
        </w:rPr>
      </w:pPr>
    </w:p>
    <w:p w14:paraId="451A2574" w14:textId="77777777" w:rsidR="000138DD" w:rsidRPr="002E0AD0" w:rsidRDefault="000138DD" w:rsidP="00E95954">
      <w:pPr>
        <w:pStyle w:val="ps-000-normal"/>
        <w:spacing w:after="0"/>
        <w:jc w:val="thaiDistribute"/>
        <w:rPr>
          <w:rFonts w:ascii="Calibri" w:eastAsia="MS UI Gothic" w:hAnsi="Calibri" w:cs="Calibri"/>
          <w:color w:val="auto"/>
          <w:kern w:val="20"/>
          <w:lang w:bidi="he-IL"/>
        </w:rPr>
      </w:pPr>
      <w:r w:rsidRPr="002E0AD0">
        <w:rPr>
          <w:rFonts w:ascii="Calibri" w:eastAsia="MS UI Gothic" w:hAnsi="Calibri" w:cs="Calibri"/>
          <w:color w:val="auto"/>
          <w:kern w:val="20"/>
          <w:lang w:bidi="he-IL"/>
        </w:rPr>
        <w:t>I communicate with those charged with governance regarding, among other matters, the planned scope and timing of the audit and significant audit findings, including any significant deficiencies in internal control that I identify during my audit.</w:t>
      </w:r>
    </w:p>
    <w:p w14:paraId="03EFCA41" w14:textId="77777777" w:rsidR="00733D0E" w:rsidRPr="00930CF5" w:rsidRDefault="00733D0E" w:rsidP="00E95954">
      <w:pPr>
        <w:pStyle w:val="ps-000-normal"/>
        <w:spacing w:after="0"/>
        <w:jc w:val="thaiDistribute"/>
        <w:rPr>
          <w:rFonts w:ascii="Calibri" w:eastAsia="MS UI Gothic" w:hAnsi="Calibri" w:cs="Calibri"/>
          <w:color w:val="auto"/>
          <w:kern w:val="20"/>
          <w:sz w:val="16"/>
          <w:szCs w:val="16"/>
          <w:lang w:bidi="he-IL"/>
        </w:rPr>
      </w:pPr>
    </w:p>
    <w:p w14:paraId="7673B721" w14:textId="77777777" w:rsidR="000138DD" w:rsidRPr="002E0AD0" w:rsidRDefault="000138DD" w:rsidP="00E95954">
      <w:pPr>
        <w:pStyle w:val="ps-000-normal"/>
        <w:spacing w:after="0"/>
        <w:jc w:val="thaiDistribute"/>
        <w:rPr>
          <w:rFonts w:ascii="Calibri" w:eastAsia="MS UI Gothic" w:hAnsi="Calibri" w:cs="Calibri"/>
          <w:color w:val="auto"/>
          <w:kern w:val="20"/>
          <w:lang w:bidi="he-IL"/>
        </w:rPr>
      </w:pPr>
      <w:r w:rsidRPr="002E0AD0">
        <w:rPr>
          <w:rFonts w:ascii="Calibri" w:eastAsia="MS UI Gothic" w:hAnsi="Calibri" w:cs="Calibri"/>
          <w:color w:val="auto"/>
          <w:kern w:val="20"/>
          <w:lang w:bidi="he-IL"/>
        </w:rPr>
        <w:t>I also provide those charged with governance with a statement that I have complied with relevant ethical requirements regarding independence, and to communicate with them all relationships and other matters that may reasonably be thought to bear on my independence, and where applicable, related safeguards.</w:t>
      </w:r>
    </w:p>
    <w:p w14:paraId="5F96A722" w14:textId="77777777" w:rsidR="00733D0E" w:rsidRPr="00930CF5" w:rsidRDefault="00733D0E" w:rsidP="00E95954">
      <w:pPr>
        <w:pStyle w:val="ps-000-normal"/>
        <w:spacing w:after="0"/>
        <w:jc w:val="thaiDistribute"/>
        <w:rPr>
          <w:rFonts w:ascii="Calibri" w:eastAsia="MS UI Gothic" w:hAnsi="Calibri" w:cs="Calibri"/>
          <w:color w:val="auto"/>
          <w:kern w:val="20"/>
          <w:sz w:val="16"/>
          <w:szCs w:val="16"/>
          <w:lang w:bidi="he-IL"/>
        </w:rPr>
      </w:pPr>
    </w:p>
    <w:p w14:paraId="493DB792" w14:textId="77777777" w:rsidR="000138DD" w:rsidRPr="002E0AD0" w:rsidRDefault="000138DD" w:rsidP="00E95954">
      <w:pPr>
        <w:pStyle w:val="ps-000-normal"/>
        <w:spacing w:after="0"/>
        <w:jc w:val="thaiDistribute"/>
        <w:rPr>
          <w:rFonts w:ascii="Calibri" w:eastAsia="MS UI Gothic" w:hAnsi="Calibri" w:cs="Calibri"/>
          <w:color w:val="auto"/>
          <w:kern w:val="20"/>
          <w:lang w:bidi="he-IL"/>
        </w:rPr>
      </w:pPr>
      <w:r w:rsidRPr="002E0AD0">
        <w:rPr>
          <w:rFonts w:ascii="Calibri" w:eastAsia="MS UI Gothic" w:hAnsi="Calibri" w:cs="Calibri"/>
          <w:color w:val="auto"/>
          <w:kern w:val="20"/>
          <w:lang w:bidi="he-IL"/>
        </w:rPr>
        <w:t>From the matters communicated with those charged with governance, I determine those matters that were of most significance in the audit of the financial statements of the current period and are therefore the key audit matters. I describe these matters in my auditor’s report unless law or regulation precludes public disclosure about the matter or when, in extremely rare circumstances, I determine that a matter should not be communicated in my report because the adverse consequences of doing so would reasonably be expected to outweigh the public interest benefits of such communication.</w:t>
      </w:r>
    </w:p>
    <w:p w14:paraId="5E4ECF51" w14:textId="528C6B9F" w:rsidR="40440ED9" w:rsidRPr="00930CF5" w:rsidRDefault="40440ED9" w:rsidP="40440ED9">
      <w:pPr>
        <w:pStyle w:val="ps-000-normal"/>
        <w:spacing w:after="0"/>
        <w:jc w:val="thaiDistribute"/>
        <w:rPr>
          <w:rFonts w:ascii="Calibri" w:eastAsia="MS UI Gothic" w:hAnsi="Calibri" w:cs="Calibri"/>
          <w:color w:val="auto"/>
          <w:sz w:val="16"/>
          <w:szCs w:val="16"/>
          <w:lang w:bidi="he-IL"/>
        </w:rPr>
      </w:pPr>
    </w:p>
    <w:p w14:paraId="2FA2724A" w14:textId="27F690D0" w:rsidR="40440ED9" w:rsidRDefault="40440ED9" w:rsidP="40440ED9">
      <w:pPr>
        <w:pStyle w:val="ps-000-normal"/>
        <w:spacing w:after="0"/>
        <w:jc w:val="thaiDistribute"/>
        <w:rPr>
          <w:rFonts w:ascii="Calibri" w:eastAsia="MS UI Gothic" w:hAnsi="Calibri" w:cs="Calibri"/>
          <w:color w:val="auto"/>
          <w:lang w:bidi="he-IL"/>
        </w:rPr>
      </w:pPr>
    </w:p>
    <w:p w14:paraId="6D9C8D39" w14:textId="77777777" w:rsidR="000138DD" w:rsidRDefault="000138DD" w:rsidP="005917C2">
      <w:pPr>
        <w:pStyle w:val="ps-000-normal"/>
        <w:spacing w:after="0"/>
        <w:rPr>
          <w:rFonts w:ascii="Calibri" w:eastAsia="MS UI Gothic" w:hAnsi="Calibri" w:cs="Calibri"/>
          <w:color w:val="auto"/>
          <w:kern w:val="20"/>
          <w:lang w:bidi="he-IL"/>
        </w:rPr>
      </w:pPr>
    </w:p>
    <w:p w14:paraId="629B5FC2" w14:textId="77777777" w:rsidR="00930CF5" w:rsidRDefault="00930CF5" w:rsidP="005917C2">
      <w:pPr>
        <w:pStyle w:val="ps-000-normal"/>
        <w:spacing w:after="0"/>
        <w:rPr>
          <w:rFonts w:ascii="Calibri" w:eastAsia="MS UI Gothic" w:hAnsi="Calibri" w:cs="Calibri"/>
          <w:color w:val="auto"/>
          <w:kern w:val="20"/>
          <w:lang w:bidi="he-IL"/>
        </w:rPr>
      </w:pPr>
    </w:p>
    <w:p w14:paraId="69AC64E1" w14:textId="77777777" w:rsidR="00F4084B" w:rsidRPr="002E0AD0" w:rsidRDefault="00F4084B" w:rsidP="005917C2">
      <w:pPr>
        <w:pStyle w:val="ps-000-normal"/>
        <w:spacing w:after="0"/>
        <w:rPr>
          <w:rFonts w:ascii="Calibri" w:eastAsia="MS UI Gothic" w:hAnsi="Calibri" w:cs="Calibri"/>
          <w:color w:val="auto"/>
          <w:kern w:val="20"/>
          <w:lang w:bidi="he-IL"/>
        </w:rPr>
      </w:pPr>
    </w:p>
    <w:p w14:paraId="616D3AC9" w14:textId="58953064" w:rsidR="00AA73BE" w:rsidRPr="002E0AD0" w:rsidRDefault="41885947" w:rsidP="00AA73B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ind w:right="-43"/>
        <w:jc w:val="both"/>
        <w:rPr>
          <w:rFonts w:ascii="Calibri" w:hAnsi="Calibri" w:cs="Calibri"/>
          <w:sz w:val="20"/>
          <w:szCs w:val="20"/>
        </w:rPr>
      </w:pPr>
      <w:r w:rsidRPr="41885947">
        <w:rPr>
          <w:rFonts w:ascii="Calibri" w:hAnsi="Calibri" w:cs="Calibri"/>
          <w:sz w:val="20"/>
          <w:szCs w:val="20"/>
        </w:rPr>
        <w:t>(Mr. Boonlert Kaewphanpurk)</w:t>
      </w:r>
    </w:p>
    <w:p w14:paraId="454CE30E" w14:textId="77777777" w:rsidR="00AA73BE" w:rsidRPr="002E0AD0" w:rsidRDefault="00AA73BE" w:rsidP="00AA73B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ind w:right="-43"/>
        <w:jc w:val="both"/>
        <w:rPr>
          <w:rFonts w:ascii="Calibri" w:hAnsi="Calibri" w:cs="Calibri"/>
          <w:sz w:val="20"/>
          <w:szCs w:val="20"/>
        </w:rPr>
      </w:pPr>
      <w:r w:rsidRPr="002E0AD0">
        <w:rPr>
          <w:rFonts w:ascii="Calibri" w:hAnsi="Calibri" w:cs="Calibri"/>
          <w:sz w:val="20"/>
          <w:szCs w:val="20"/>
        </w:rPr>
        <w:t>Independent Auditor</w:t>
      </w:r>
    </w:p>
    <w:p w14:paraId="331D08D2" w14:textId="23FD5887" w:rsidR="00AA73BE" w:rsidRPr="002E0AD0" w:rsidRDefault="41885947" w:rsidP="00AA73B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ind w:right="-43"/>
        <w:jc w:val="both"/>
        <w:rPr>
          <w:rFonts w:ascii="Calibri" w:hAnsi="Calibri" w:cs="Calibri"/>
          <w:sz w:val="20"/>
          <w:szCs w:val="20"/>
        </w:rPr>
      </w:pPr>
      <w:r w:rsidRPr="41885947">
        <w:rPr>
          <w:rFonts w:ascii="Calibri" w:hAnsi="Calibri" w:cs="Calibri"/>
          <w:sz w:val="20"/>
          <w:szCs w:val="20"/>
        </w:rPr>
        <w:t>Registration No. 4165</w:t>
      </w:r>
    </w:p>
    <w:p w14:paraId="675E05EE" w14:textId="77777777" w:rsidR="00836342" w:rsidRPr="002E0AD0" w:rsidRDefault="00836342" w:rsidP="005917C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43"/>
        <w:jc w:val="both"/>
        <w:rPr>
          <w:rFonts w:ascii="Calibri" w:eastAsia="MS UI Gothic" w:hAnsi="Calibri" w:cs="Calibri"/>
          <w:sz w:val="20"/>
          <w:szCs w:val="20"/>
        </w:rPr>
      </w:pPr>
    </w:p>
    <w:p w14:paraId="4F8CFC09" w14:textId="77777777" w:rsidR="00FE4DAA" w:rsidRPr="002E0AD0" w:rsidRDefault="009C073C" w:rsidP="005917C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43"/>
        <w:jc w:val="both"/>
        <w:rPr>
          <w:rFonts w:ascii="Calibri" w:eastAsia="MS UI Gothic" w:hAnsi="Calibri" w:cs="Calibri"/>
          <w:sz w:val="20"/>
          <w:szCs w:val="20"/>
        </w:rPr>
      </w:pPr>
      <w:r w:rsidRPr="002E0AD0">
        <w:rPr>
          <w:rFonts w:ascii="Calibri" w:eastAsia="MS UI Gothic" w:hAnsi="Calibri" w:cs="Calibri"/>
          <w:sz w:val="20"/>
          <w:szCs w:val="20"/>
        </w:rPr>
        <w:t>BPR AUDIT AND ADVISORY</w:t>
      </w:r>
      <w:r w:rsidR="00FE4DAA" w:rsidRPr="002E0AD0">
        <w:rPr>
          <w:rFonts w:ascii="Calibri" w:eastAsia="MS UI Gothic" w:hAnsi="Calibri" w:cs="Calibri"/>
          <w:sz w:val="20"/>
          <w:szCs w:val="20"/>
        </w:rPr>
        <w:t xml:space="preserve"> CO., LTD.</w:t>
      </w:r>
    </w:p>
    <w:p w14:paraId="59AC5051" w14:textId="77777777" w:rsidR="00B457AA" w:rsidRPr="002E0AD0" w:rsidRDefault="00FE4DAA" w:rsidP="005917C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43"/>
        <w:jc w:val="both"/>
        <w:rPr>
          <w:rFonts w:ascii="Calibri" w:eastAsia="MS UI Gothic" w:hAnsi="Calibri" w:cs="Calibri"/>
          <w:sz w:val="20"/>
          <w:szCs w:val="20"/>
        </w:rPr>
      </w:pPr>
      <w:r w:rsidRPr="002E0AD0">
        <w:rPr>
          <w:rFonts w:ascii="Calibri" w:eastAsia="MS UI Gothic" w:hAnsi="Calibri" w:cs="Calibri"/>
          <w:sz w:val="20"/>
          <w:szCs w:val="20"/>
        </w:rPr>
        <w:t>Bangkok</w:t>
      </w:r>
    </w:p>
    <w:p w14:paraId="0A4F7224" w14:textId="432EFD8A" w:rsidR="0012477E" w:rsidRPr="002A15CE" w:rsidRDefault="41885947" w:rsidP="005E5A05">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43"/>
        <w:jc w:val="both"/>
        <w:rPr>
          <w:rFonts w:ascii="Calibri" w:eastAsia="MS UI Gothic" w:hAnsi="Calibri" w:cs="Cordia New"/>
          <w:sz w:val="20"/>
          <w:szCs w:val="20"/>
          <w:cs/>
        </w:rPr>
      </w:pPr>
      <w:r w:rsidRPr="00F74398">
        <w:rPr>
          <w:rFonts w:ascii="Calibri" w:eastAsia="MS UI Gothic" w:hAnsi="Calibri" w:cs="Calibri"/>
          <w:sz w:val="20"/>
          <w:szCs w:val="20"/>
        </w:rPr>
        <w:t>February 2</w:t>
      </w:r>
      <w:r w:rsidR="00F74398">
        <w:rPr>
          <w:rFonts w:ascii="Calibri" w:eastAsia="MS UI Gothic" w:hAnsi="Calibri" w:cs="Calibri"/>
          <w:sz w:val="20"/>
          <w:szCs w:val="20"/>
        </w:rPr>
        <w:t>7</w:t>
      </w:r>
      <w:r w:rsidRPr="00F74398">
        <w:rPr>
          <w:rFonts w:ascii="Calibri" w:eastAsia="MS UI Gothic" w:hAnsi="Calibri" w:cs="Calibri"/>
          <w:sz w:val="20"/>
          <w:szCs w:val="20"/>
        </w:rPr>
        <w:t>, 20</w:t>
      </w:r>
      <w:r w:rsidRPr="00F74398">
        <w:rPr>
          <w:rFonts w:ascii="Calibri" w:eastAsia="MS UI Gothic" w:hAnsi="Calibri" w:cs="Cordia New"/>
          <w:sz w:val="20"/>
          <w:szCs w:val="20"/>
        </w:rPr>
        <w:t>2</w:t>
      </w:r>
      <w:r w:rsidR="00C36ABD" w:rsidRPr="00F74398">
        <w:rPr>
          <w:rFonts w:ascii="Calibri" w:eastAsia="MS UI Gothic" w:hAnsi="Calibri" w:cs="Cordia New"/>
          <w:sz w:val="20"/>
          <w:szCs w:val="20"/>
        </w:rPr>
        <w:t>6</w:t>
      </w:r>
    </w:p>
    <w:sectPr w:rsidR="0012477E" w:rsidRPr="002A15CE" w:rsidSect="00D824B4">
      <w:pgSz w:w="11909" w:h="16834" w:code="9"/>
      <w:pgMar w:top="2127" w:right="1151" w:bottom="578" w:left="1440" w:header="476" w:footer="374" w:gutter="0"/>
      <w:pgNumType w:start="2"/>
      <w:cols w:space="720"/>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0D1D9" w14:textId="77777777" w:rsidR="006838B6" w:rsidRDefault="006838B6">
      <w:r>
        <w:separator/>
      </w:r>
    </w:p>
  </w:endnote>
  <w:endnote w:type="continuationSeparator" w:id="0">
    <w:p w14:paraId="5E98BE45" w14:textId="77777777" w:rsidR="006838B6" w:rsidRDefault="00683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gsana New">
    <w:panose1 w:val="02020603050405020304"/>
    <w:charset w:val="00"/>
    <w:family w:val="roman"/>
    <w:pitch w:val="variable"/>
    <w:sig w:usb0="81000003" w:usb1="00000000" w:usb2="00000000" w:usb3="00000000" w:csb0="0001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MS UI 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8469" w14:textId="77777777" w:rsidR="00E0668F" w:rsidRPr="00FB7A83" w:rsidRDefault="00E0668F">
    <w:pPr>
      <w:pStyle w:val="Footer"/>
      <w:jc w:val="right"/>
      <w:rPr>
        <w:rFonts w:ascii="Calibri" w:hAnsi="Calibri" w:cs="Calibri"/>
        <w:sz w:val="21"/>
        <w:szCs w:val="21"/>
      </w:rPr>
    </w:pPr>
    <w:r w:rsidRPr="00FB7A83">
      <w:rPr>
        <w:rFonts w:ascii="Calibri" w:hAnsi="Calibri" w:cs="Calibri"/>
        <w:sz w:val="21"/>
        <w:szCs w:val="21"/>
      </w:rPr>
      <w:fldChar w:fldCharType="begin"/>
    </w:r>
    <w:r w:rsidRPr="00FB7A83">
      <w:rPr>
        <w:rFonts w:ascii="Calibri" w:hAnsi="Calibri" w:cs="Calibri"/>
        <w:sz w:val="21"/>
        <w:szCs w:val="21"/>
      </w:rPr>
      <w:instrText xml:space="preserve"> PAGE   \* MERGEFORMAT </w:instrText>
    </w:r>
    <w:r w:rsidRPr="00FB7A83">
      <w:rPr>
        <w:rFonts w:ascii="Calibri" w:hAnsi="Calibri" w:cs="Calibri"/>
        <w:sz w:val="21"/>
        <w:szCs w:val="21"/>
      </w:rPr>
      <w:fldChar w:fldCharType="separate"/>
    </w:r>
    <w:r w:rsidR="006649D8">
      <w:rPr>
        <w:rFonts w:ascii="Calibri" w:hAnsi="Calibri" w:cs="Calibri"/>
        <w:noProof/>
        <w:sz w:val="21"/>
        <w:szCs w:val="21"/>
      </w:rPr>
      <w:t>4</w:t>
    </w:r>
    <w:r w:rsidRPr="00FB7A83">
      <w:rPr>
        <w:rFonts w:ascii="Calibri" w:hAnsi="Calibri" w:cs="Calibri"/>
        <w:noProof/>
        <w:sz w:val="21"/>
        <w:szCs w:val="21"/>
      </w:rPr>
      <w:fldChar w:fldCharType="end"/>
    </w:r>
  </w:p>
  <w:p w14:paraId="5AE48A43" w14:textId="77777777" w:rsidR="005E5A05" w:rsidRPr="005E5A05" w:rsidRDefault="005E5A05" w:rsidP="005E5A05">
    <w:pPr>
      <w:pStyle w:val="Footer"/>
      <w:jc w:val="righ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55C9" w14:textId="77777777" w:rsidR="00163BBF" w:rsidRPr="00163BBF" w:rsidRDefault="00163BBF">
    <w:pPr>
      <w:pStyle w:val="Footer"/>
      <w:jc w:val="right"/>
      <w:rPr>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7F7E3" w14:textId="77777777" w:rsidR="006838B6" w:rsidRDefault="006838B6">
      <w:r>
        <w:separator/>
      </w:r>
    </w:p>
  </w:footnote>
  <w:footnote w:type="continuationSeparator" w:id="0">
    <w:p w14:paraId="655F67E0" w14:textId="77777777" w:rsidR="006838B6" w:rsidRDefault="006838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EA860E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4EEBA3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B12E0D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ECE4C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9AAF7A8"/>
    <w:lvl w:ilvl="0">
      <w:start w:val="1"/>
      <w:numFmt w:val="bullet"/>
      <w:pStyle w:val="ListBullet5"/>
      <w:lvlText w:val=""/>
      <w:lvlJc w:val="left"/>
      <w:pPr>
        <w:tabs>
          <w:tab w:val="num" w:pos="1492"/>
        </w:tabs>
        <w:ind w:left="1492" w:hanging="360"/>
      </w:pPr>
      <w:rPr>
        <w:rFonts w:ascii="Times New Roman" w:hAnsi="Symbol" w:hint="default"/>
        <w:cs w:val="0"/>
        <w:lang w:bidi="th-TH"/>
      </w:rPr>
    </w:lvl>
  </w:abstractNum>
  <w:abstractNum w:abstractNumId="5" w15:restartNumberingAfterBreak="0">
    <w:nsid w:val="FFFFFF81"/>
    <w:multiLevelType w:val="singleLevel"/>
    <w:tmpl w:val="588EC474"/>
    <w:lvl w:ilvl="0">
      <w:start w:val="1"/>
      <w:numFmt w:val="bullet"/>
      <w:pStyle w:val="ListBullet4"/>
      <w:lvlText w:val=""/>
      <w:lvlJc w:val="left"/>
      <w:pPr>
        <w:tabs>
          <w:tab w:val="num" w:pos="1209"/>
        </w:tabs>
        <w:ind w:left="1209" w:hanging="360"/>
      </w:pPr>
      <w:rPr>
        <w:rFonts w:ascii="Times New Roman" w:hAnsi="Symbol" w:hint="default"/>
        <w:cs w:val="0"/>
        <w:lang w:bidi="th-TH"/>
      </w:rPr>
    </w:lvl>
  </w:abstractNum>
  <w:abstractNum w:abstractNumId="6" w15:restartNumberingAfterBreak="0">
    <w:nsid w:val="FFFFFF82"/>
    <w:multiLevelType w:val="singleLevel"/>
    <w:tmpl w:val="15FCE30C"/>
    <w:lvl w:ilvl="0">
      <w:start w:val="1"/>
      <w:numFmt w:val="bullet"/>
      <w:pStyle w:val="ListBullet3"/>
      <w:lvlText w:val=""/>
      <w:lvlJc w:val="left"/>
      <w:pPr>
        <w:tabs>
          <w:tab w:val="num" w:pos="926"/>
        </w:tabs>
        <w:ind w:left="926" w:hanging="360"/>
      </w:pPr>
      <w:rPr>
        <w:rFonts w:ascii="Times New Roman" w:hAnsi="Symbol" w:hint="default"/>
        <w:cs w:val="0"/>
        <w:lang w:bidi="th-TH"/>
      </w:rPr>
    </w:lvl>
  </w:abstractNum>
  <w:abstractNum w:abstractNumId="7" w15:restartNumberingAfterBreak="0">
    <w:nsid w:val="FFFFFF83"/>
    <w:multiLevelType w:val="singleLevel"/>
    <w:tmpl w:val="CEE6C8AC"/>
    <w:lvl w:ilvl="0">
      <w:start w:val="1"/>
      <w:numFmt w:val="bullet"/>
      <w:pStyle w:val="ListBullet2"/>
      <w:lvlText w:val=""/>
      <w:lvlJc w:val="left"/>
      <w:pPr>
        <w:tabs>
          <w:tab w:val="num" w:pos="643"/>
        </w:tabs>
        <w:ind w:left="643" w:hanging="360"/>
      </w:pPr>
      <w:rPr>
        <w:rFonts w:ascii="Times New Roman" w:hAnsi="Symbol" w:hint="default"/>
        <w:cs w:val="0"/>
        <w:lang w:bidi="th-TH"/>
      </w:rPr>
    </w:lvl>
  </w:abstractNum>
  <w:abstractNum w:abstractNumId="8" w15:restartNumberingAfterBreak="0">
    <w:nsid w:val="FFFFFF88"/>
    <w:multiLevelType w:val="singleLevel"/>
    <w:tmpl w:val="310E47A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4A066C6"/>
    <w:lvl w:ilvl="0">
      <w:start w:val="1"/>
      <w:numFmt w:val="bullet"/>
      <w:pStyle w:val="ListBullet"/>
      <w:lvlText w:val=""/>
      <w:lvlJc w:val="left"/>
      <w:pPr>
        <w:tabs>
          <w:tab w:val="num" w:pos="360"/>
        </w:tabs>
        <w:ind w:left="360" w:hanging="360"/>
      </w:pPr>
      <w:rPr>
        <w:rFonts w:ascii="Times New Roman" w:hAnsi="Symbol" w:hint="default"/>
        <w:cs w:val="0"/>
        <w:lang w:bidi="th-TH"/>
      </w:rPr>
    </w:lvl>
  </w:abstractNum>
  <w:abstractNum w:abstractNumId="10" w15:restartNumberingAfterBreak="0">
    <w:nsid w:val="03EF0C8C"/>
    <w:multiLevelType w:val="hybridMultilevel"/>
    <w:tmpl w:val="C44052A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0F36DE4"/>
    <w:multiLevelType w:val="hybridMultilevel"/>
    <w:tmpl w:val="2AD21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942F03"/>
    <w:multiLevelType w:val="hybridMultilevel"/>
    <w:tmpl w:val="F2D6BC50"/>
    <w:lvl w:ilvl="0" w:tplc="EA1850A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635412"/>
    <w:multiLevelType w:val="singleLevel"/>
    <w:tmpl w:val="AB30F568"/>
    <w:lvl w:ilvl="0">
      <w:start w:val="1"/>
      <w:numFmt w:val="decimal"/>
      <w:pStyle w:val="AANumbering"/>
      <w:lvlText w:val="%1."/>
      <w:lvlJc w:val="left"/>
      <w:pPr>
        <w:tabs>
          <w:tab w:val="num" w:pos="283"/>
        </w:tabs>
        <w:ind w:left="283" w:hanging="283"/>
      </w:pPr>
    </w:lvl>
  </w:abstractNum>
  <w:abstractNum w:abstractNumId="14" w15:restartNumberingAfterBreak="0">
    <w:nsid w:val="320242E7"/>
    <w:multiLevelType w:val="hybridMultilevel"/>
    <w:tmpl w:val="D024A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0A5009"/>
    <w:multiLevelType w:val="multilevel"/>
    <w:tmpl w:val="E488CD3C"/>
    <w:lvl w:ilvl="0">
      <w:start w:val="1"/>
      <w:numFmt w:val="decimal"/>
      <w:pStyle w:val="Heading1"/>
      <w:lvlText w:val="%1"/>
      <w:lvlJc w:val="left"/>
      <w:pPr>
        <w:tabs>
          <w:tab w:val="num" w:pos="283"/>
        </w:tabs>
        <w:ind w:left="283" w:hanging="283"/>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3A297125"/>
    <w:multiLevelType w:val="singleLevel"/>
    <w:tmpl w:val="CC8A7736"/>
    <w:lvl w:ilvl="0">
      <w:start w:val="1"/>
      <w:numFmt w:val="bullet"/>
      <w:pStyle w:val="AA1stlevelbullet"/>
      <w:lvlText w:val=""/>
      <w:lvlJc w:val="left"/>
      <w:pPr>
        <w:tabs>
          <w:tab w:val="num" w:pos="283"/>
        </w:tabs>
        <w:ind w:left="283" w:hanging="283"/>
      </w:pPr>
      <w:rPr>
        <w:rFonts w:ascii="Times New Roman" w:hAnsi="Symbol" w:hint="default"/>
        <w:cs w:val="0"/>
        <w:lang w:bidi="th-TH"/>
      </w:rPr>
    </w:lvl>
  </w:abstractNum>
  <w:abstractNum w:abstractNumId="17" w15:restartNumberingAfterBreak="0">
    <w:nsid w:val="3F431FB7"/>
    <w:multiLevelType w:val="singleLevel"/>
    <w:tmpl w:val="C4102D84"/>
    <w:lvl w:ilvl="0">
      <w:start w:val="1"/>
      <w:numFmt w:val="bullet"/>
      <w:pStyle w:val="AA2ndlevelbullet"/>
      <w:lvlText w:val=""/>
      <w:lvlJc w:val="left"/>
      <w:pPr>
        <w:tabs>
          <w:tab w:val="num" w:pos="283"/>
        </w:tabs>
        <w:ind w:left="283" w:hanging="283"/>
      </w:pPr>
      <w:rPr>
        <w:rFonts w:ascii="Times New Roman" w:hAnsi="Symbol" w:hint="default"/>
        <w:cs w:val="0"/>
        <w:lang w:bidi="th-TH"/>
      </w:rPr>
    </w:lvl>
  </w:abstractNum>
  <w:abstractNum w:abstractNumId="18" w15:restartNumberingAfterBreak="0">
    <w:nsid w:val="42EE6F25"/>
    <w:multiLevelType w:val="hybridMultilevel"/>
    <w:tmpl w:val="46BAE16A"/>
    <w:lvl w:ilvl="0" w:tplc="FFFFFFFF">
      <w:start w:val="11"/>
      <w:numFmt w:val="decimal"/>
      <w:lvlText w:val="%1."/>
      <w:lvlJc w:val="left"/>
      <w:pPr>
        <w:tabs>
          <w:tab w:val="num" w:pos="900"/>
        </w:tabs>
        <w:ind w:left="900" w:hanging="5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1C05656"/>
    <w:multiLevelType w:val="hybridMultilevel"/>
    <w:tmpl w:val="C6068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25099D"/>
    <w:multiLevelType w:val="hybridMultilevel"/>
    <w:tmpl w:val="EE782CD0"/>
    <w:lvl w:ilvl="0" w:tplc="B658EE3E">
      <w:start w:val="1"/>
      <w:numFmt w:val="lowerLetter"/>
      <w:lvlText w:val="%1)"/>
      <w:lvlJc w:val="left"/>
      <w:pPr>
        <w:ind w:left="720" w:hanging="360"/>
      </w:pPr>
      <w:rPr>
        <w:rFonts w:ascii="Arial" w:eastAsia="Arial Unicode MS" w:hAnsi="Arial" w:cs="Arial Unicode M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AD448B"/>
    <w:multiLevelType w:val="singleLevel"/>
    <w:tmpl w:val="E6002CD6"/>
    <w:lvl w:ilvl="0">
      <w:start w:val="1"/>
      <w:numFmt w:val="lowerLetter"/>
      <w:pStyle w:val="ParagraphNumbering"/>
      <w:lvlText w:val="(%1)"/>
      <w:lvlJc w:val="left"/>
      <w:pPr>
        <w:tabs>
          <w:tab w:val="num" w:pos="705"/>
        </w:tabs>
        <w:ind w:left="705" w:hanging="705"/>
      </w:pPr>
      <w:rPr>
        <w:rFonts w:hint="default"/>
        <w:cs w:val="0"/>
        <w:lang w:bidi="th-TH"/>
      </w:rPr>
    </w:lvl>
  </w:abstractNum>
  <w:abstractNum w:abstractNumId="22" w15:restartNumberingAfterBreak="0">
    <w:nsid w:val="6DFE7188"/>
    <w:multiLevelType w:val="hybridMultilevel"/>
    <w:tmpl w:val="6B40E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B6A767E"/>
    <w:multiLevelType w:val="hybridMultilevel"/>
    <w:tmpl w:val="1A9E6176"/>
    <w:lvl w:ilvl="0" w:tplc="FFFFFFFF">
      <w:start w:val="11"/>
      <w:numFmt w:val="decimal"/>
      <w:lvlText w:val="%1."/>
      <w:lvlJc w:val="left"/>
      <w:pPr>
        <w:tabs>
          <w:tab w:val="num" w:pos="900"/>
        </w:tabs>
        <w:ind w:left="900" w:hanging="5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829062653">
    <w:abstractNumId w:val="6"/>
  </w:num>
  <w:num w:numId="2" w16cid:durableId="740101085">
    <w:abstractNumId w:val="5"/>
  </w:num>
  <w:num w:numId="3" w16cid:durableId="1285847396">
    <w:abstractNumId w:val="9"/>
  </w:num>
  <w:num w:numId="4" w16cid:durableId="1115250397">
    <w:abstractNumId w:val="7"/>
  </w:num>
  <w:num w:numId="5" w16cid:durableId="489061445">
    <w:abstractNumId w:val="8"/>
  </w:num>
  <w:num w:numId="6" w16cid:durableId="1165127704">
    <w:abstractNumId w:val="3"/>
  </w:num>
  <w:num w:numId="7" w16cid:durableId="630357557">
    <w:abstractNumId w:val="2"/>
  </w:num>
  <w:num w:numId="8" w16cid:durableId="2073969142">
    <w:abstractNumId w:val="0"/>
  </w:num>
  <w:num w:numId="9" w16cid:durableId="1169906525">
    <w:abstractNumId w:val="1"/>
  </w:num>
  <w:num w:numId="10" w16cid:durableId="1167749599">
    <w:abstractNumId w:val="4"/>
  </w:num>
  <w:num w:numId="11" w16cid:durableId="1328440233">
    <w:abstractNumId w:val="16"/>
  </w:num>
  <w:num w:numId="12" w16cid:durableId="420181002">
    <w:abstractNumId w:val="13"/>
  </w:num>
  <w:num w:numId="13" w16cid:durableId="8683058">
    <w:abstractNumId w:val="21"/>
  </w:num>
  <w:num w:numId="14" w16cid:durableId="135605584">
    <w:abstractNumId w:val="15"/>
  </w:num>
  <w:num w:numId="15" w16cid:durableId="208078656">
    <w:abstractNumId w:val="17"/>
  </w:num>
  <w:num w:numId="16" w16cid:durableId="1324242354">
    <w:abstractNumId w:val="10"/>
  </w:num>
  <w:num w:numId="17" w16cid:durableId="1618219796">
    <w:abstractNumId w:val="23"/>
  </w:num>
  <w:num w:numId="18" w16cid:durableId="399400527">
    <w:abstractNumId w:val="18"/>
  </w:num>
  <w:num w:numId="19" w16cid:durableId="1047684921">
    <w:abstractNumId w:val="22"/>
  </w:num>
  <w:num w:numId="20" w16cid:durableId="818226605">
    <w:abstractNumId w:val="22"/>
  </w:num>
  <w:num w:numId="21" w16cid:durableId="529999479">
    <w:abstractNumId w:val="11"/>
  </w:num>
  <w:num w:numId="22" w16cid:durableId="1350183084">
    <w:abstractNumId w:val="14"/>
  </w:num>
  <w:num w:numId="23" w16cid:durableId="204604042">
    <w:abstractNumId w:val="20"/>
  </w:num>
  <w:num w:numId="24" w16cid:durableId="299193192">
    <w:abstractNumId w:val="12"/>
  </w:num>
  <w:num w:numId="25" w16cid:durableId="3343105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50" fill="f" fillcolor="#f49100" strokecolor="#f49100">
      <v:fill color="#f49100" on="f"/>
      <v:stroke color="#f49100"/>
      <o:colormru v:ext="edit" colors="#f49100,#8f9286"/>
    </o:shapedefaults>
  </w:hdrShapeDefaults>
  <w:footnotePr>
    <w:footnote w:id="-1"/>
    <w:footnote w:id="0"/>
  </w:footnotePr>
  <w:endnotePr>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DAA"/>
    <w:rsid w:val="00004A59"/>
    <w:rsid w:val="00006898"/>
    <w:rsid w:val="00006F45"/>
    <w:rsid w:val="0001132E"/>
    <w:rsid w:val="00011675"/>
    <w:rsid w:val="0001185F"/>
    <w:rsid w:val="000138DD"/>
    <w:rsid w:val="00015EE1"/>
    <w:rsid w:val="00026691"/>
    <w:rsid w:val="00026B54"/>
    <w:rsid w:val="000272B6"/>
    <w:rsid w:val="000273D2"/>
    <w:rsid w:val="00027F95"/>
    <w:rsid w:val="000338D7"/>
    <w:rsid w:val="000341FC"/>
    <w:rsid w:val="00035C1B"/>
    <w:rsid w:val="00036984"/>
    <w:rsid w:val="00040960"/>
    <w:rsid w:val="000416EA"/>
    <w:rsid w:val="00042BB0"/>
    <w:rsid w:val="00042CFB"/>
    <w:rsid w:val="00044DEB"/>
    <w:rsid w:val="00046B8B"/>
    <w:rsid w:val="00065026"/>
    <w:rsid w:val="0006671F"/>
    <w:rsid w:val="000671FB"/>
    <w:rsid w:val="00075DDB"/>
    <w:rsid w:val="00075E97"/>
    <w:rsid w:val="0007769A"/>
    <w:rsid w:val="00077EAC"/>
    <w:rsid w:val="0008275E"/>
    <w:rsid w:val="00082F6B"/>
    <w:rsid w:val="000843C9"/>
    <w:rsid w:val="000869A2"/>
    <w:rsid w:val="000869F1"/>
    <w:rsid w:val="000925F2"/>
    <w:rsid w:val="00095B5F"/>
    <w:rsid w:val="00095FAD"/>
    <w:rsid w:val="000A1506"/>
    <w:rsid w:val="000A3103"/>
    <w:rsid w:val="000A4D15"/>
    <w:rsid w:val="000A77FF"/>
    <w:rsid w:val="000B6195"/>
    <w:rsid w:val="000B7C16"/>
    <w:rsid w:val="000C37C1"/>
    <w:rsid w:val="000C4253"/>
    <w:rsid w:val="000C5311"/>
    <w:rsid w:val="000C549C"/>
    <w:rsid w:val="000C5AA5"/>
    <w:rsid w:val="000C6DD8"/>
    <w:rsid w:val="000C7CC3"/>
    <w:rsid w:val="000D3224"/>
    <w:rsid w:val="000E0C86"/>
    <w:rsid w:val="000E1CA9"/>
    <w:rsid w:val="000F204B"/>
    <w:rsid w:val="000F27B7"/>
    <w:rsid w:val="000F2886"/>
    <w:rsid w:val="000F2B36"/>
    <w:rsid w:val="000F3CCB"/>
    <w:rsid w:val="000F4839"/>
    <w:rsid w:val="000F624F"/>
    <w:rsid w:val="001003ED"/>
    <w:rsid w:val="0010128A"/>
    <w:rsid w:val="00102170"/>
    <w:rsid w:val="0010504B"/>
    <w:rsid w:val="00105175"/>
    <w:rsid w:val="001119C1"/>
    <w:rsid w:val="0011313F"/>
    <w:rsid w:val="001233F6"/>
    <w:rsid w:val="0012477E"/>
    <w:rsid w:val="001270AC"/>
    <w:rsid w:val="00127F12"/>
    <w:rsid w:val="0013049D"/>
    <w:rsid w:val="0013113A"/>
    <w:rsid w:val="00131899"/>
    <w:rsid w:val="00135DD2"/>
    <w:rsid w:val="00140BE5"/>
    <w:rsid w:val="00141905"/>
    <w:rsid w:val="00143F81"/>
    <w:rsid w:val="00152296"/>
    <w:rsid w:val="001548DE"/>
    <w:rsid w:val="00161462"/>
    <w:rsid w:val="0016375A"/>
    <w:rsid w:val="00163BBF"/>
    <w:rsid w:val="001641DD"/>
    <w:rsid w:val="001700A7"/>
    <w:rsid w:val="001709B0"/>
    <w:rsid w:val="001744A4"/>
    <w:rsid w:val="00184A6C"/>
    <w:rsid w:val="00187974"/>
    <w:rsid w:val="00190860"/>
    <w:rsid w:val="001915A5"/>
    <w:rsid w:val="00197504"/>
    <w:rsid w:val="001A09D3"/>
    <w:rsid w:val="001A3C83"/>
    <w:rsid w:val="001A489C"/>
    <w:rsid w:val="001A7BC7"/>
    <w:rsid w:val="001A7FB2"/>
    <w:rsid w:val="001B4538"/>
    <w:rsid w:val="001C0787"/>
    <w:rsid w:val="001C1863"/>
    <w:rsid w:val="001C73FC"/>
    <w:rsid w:val="001D2204"/>
    <w:rsid w:val="001D4076"/>
    <w:rsid w:val="001D457A"/>
    <w:rsid w:val="001E11F2"/>
    <w:rsid w:val="001E4B2C"/>
    <w:rsid w:val="001F1383"/>
    <w:rsid w:val="001F5358"/>
    <w:rsid w:val="001F7B94"/>
    <w:rsid w:val="002050FC"/>
    <w:rsid w:val="00212FF9"/>
    <w:rsid w:val="002150C2"/>
    <w:rsid w:val="00217803"/>
    <w:rsid w:val="002229D9"/>
    <w:rsid w:val="0022689A"/>
    <w:rsid w:val="00226F1C"/>
    <w:rsid w:val="0023038F"/>
    <w:rsid w:val="002308D2"/>
    <w:rsid w:val="00231099"/>
    <w:rsid w:val="00231C1B"/>
    <w:rsid w:val="00235D1A"/>
    <w:rsid w:val="00236E60"/>
    <w:rsid w:val="00242457"/>
    <w:rsid w:val="00244019"/>
    <w:rsid w:val="00250738"/>
    <w:rsid w:val="00250948"/>
    <w:rsid w:val="00251292"/>
    <w:rsid w:val="0026390C"/>
    <w:rsid w:val="00273119"/>
    <w:rsid w:val="00274543"/>
    <w:rsid w:val="00274C59"/>
    <w:rsid w:val="00276788"/>
    <w:rsid w:val="0028072F"/>
    <w:rsid w:val="00280C92"/>
    <w:rsid w:val="0028145F"/>
    <w:rsid w:val="00282319"/>
    <w:rsid w:val="002839A7"/>
    <w:rsid w:val="00290E3A"/>
    <w:rsid w:val="00294111"/>
    <w:rsid w:val="00294156"/>
    <w:rsid w:val="00294F25"/>
    <w:rsid w:val="00294F6F"/>
    <w:rsid w:val="002A0F1F"/>
    <w:rsid w:val="002A11C5"/>
    <w:rsid w:val="002A15CE"/>
    <w:rsid w:val="002A2FEF"/>
    <w:rsid w:val="002A3985"/>
    <w:rsid w:val="002A7A76"/>
    <w:rsid w:val="002B00BC"/>
    <w:rsid w:val="002B38CD"/>
    <w:rsid w:val="002B3CFD"/>
    <w:rsid w:val="002B5131"/>
    <w:rsid w:val="002C11CE"/>
    <w:rsid w:val="002C23BA"/>
    <w:rsid w:val="002C2E2F"/>
    <w:rsid w:val="002C3C5A"/>
    <w:rsid w:val="002D06C2"/>
    <w:rsid w:val="002D2066"/>
    <w:rsid w:val="002D246B"/>
    <w:rsid w:val="002D2AB3"/>
    <w:rsid w:val="002D33B6"/>
    <w:rsid w:val="002D3A05"/>
    <w:rsid w:val="002D60C5"/>
    <w:rsid w:val="002E0AD0"/>
    <w:rsid w:val="002E0C8B"/>
    <w:rsid w:val="002E14A4"/>
    <w:rsid w:val="002E3DCF"/>
    <w:rsid w:val="002F3114"/>
    <w:rsid w:val="002F7E31"/>
    <w:rsid w:val="003009B0"/>
    <w:rsid w:val="00301A9B"/>
    <w:rsid w:val="0030253A"/>
    <w:rsid w:val="00305102"/>
    <w:rsid w:val="00307347"/>
    <w:rsid w:val="003129D7"/>
    <w:rsid w:val="003230AC"/>
    <w:rsid w:val="00324133"/>
    <w:rsid w:val="00324889"/>
    <w:rsid w:val="00326E5F"/>
    <w:rsid w:val="0033045C"/>
    <w:rsid w:val="00331658"/>
    <w:rsid w:val="003318EE"/>
    <w:rsid w:val="0033518C"/>
    <w:rsid w:val="003366BE"/>
    <w:rsid w:val="00336C7F"/>
    <w:rsid w:val="003437A1"/>
    <w:rsid w:val="00345A72"/>
    <w:rsid w:val="00351016"/>
    <w:rsid w:val="003521EC"/>
    <w:rsid w:val="003527D7"/>
    <w:rsid w:val="00354250"/>
    <w:rsid w:val="00360A57"/>
    <w:rsid w:val="003640D3"/>
    <w:rsid w:val="003650B0"/>
    <w:rsid w:val="00367082"/>
    <w:rsid w:val="0037072C"/>
    <w:rsid w:val="00372957"/>
    <w:rsid w:val="00373E04"/>
    <w:rsid w:val="00376EF4"/>
    <w:rsid w:val="003833EB"/>
    <w:rsid w:val="00385C7C"/>
    <w:rsid w:val="0039101B"/>
    <w:rsid w:val="00391E31"/>
    <w:rsid w:val="00393482"/>
    <w:rsid w:val="0039502B"/>
    <w:rsid w:val="00395C03"/>
    <w:rsid w:val="00396D82"/>
    <w:rsid w:val="00396E74"/>
    <w:rsid w:val="003A44E7"/>
    <w:rsid w:val="003A6055"/>
    <w:rsid w:val="003A6A78"/>
    <w:rsid w:val="003B2BD9"/>
    <w:rsid w:val="003B5D6E"/>
    <w:rsid w:val="003C1495"/>
    <w:rsid w:val="003C1D19"/>
    <w:rsid w:val="003C260C"/>
    <w:rsid w:val="003C35E1"/>
    <w:rsid w:val="003C4B52"/>
    <w:rsid w:val="003D0CE4"/>
    <w:rsid w:val="003D348E"/>
    <w:rsid w:val="003D5A35"/>
    <w:rsid w:val="003D675F"/>
    <w:rsid w:val="003E086A"/>
    <w:rsid w:val="003E64FF"/>
    <w:rsid w:val="003E65FE"/>
    <w:rsid w:val="003E6A2B"/>
    <w:rsid w:val="003F2E71"/>
    <w:rsid w:val="004038CE"/>
    <w:rsid w:val="00404129"/>
    <w:rsid w:val="004046AC"/>
    <w:rsid w:val="00405690"/>
    <w:rsid w:val="00406644"/>
    <w:rsid w:val="00407515"/>
    <w:rsid w:val="00411589"/>
    <w:rsid w:val="0042192B"/>
    <w:rsid w:val="00421D1E"/>
    <w:rsid w:val="004247A4"/>
    <w:rsid w:val="00426C7F"/>
    <w:rsid w:val="0042779C"/>
    <w:rsid w:val="004320AF"/>
    <w:rsid w:val="004350EC"/>
    <w:rsid w:val="00436C6E"/>
    <w:rsid w:val="00437858"/>
    <w:rsid w:val="00442407"/>
    <w:rsid w:val="00444F04"/>
    <w:rsid w:val="00454FB5"/>
    <w:rsid w:val="00455EC1"/>
    <w:rsid w:val="00456FA7"/>
    <w:rsid w:val="004610FC"/>
    <w:rsid w:val="00464110"/>
    <w:rsid w:val="00464930"/>
    <w:rsid w:val="00471988"/>
    <w:rsid w:val="0047666B"/>
    <w:rsid w:val="0047674A"/>
    <w:rsid w:val="00476827"/>
    <w:rsid w:val="00480588"/>
    <w:rsid w:val="00481FF5"/>
    <w:rsid w:val="0048200A"/>
    <w:rsid w:val="00491633"/>
    <w:rsid w:val="00491A95"/>
    <w:rsid w:val="00491F03"/>
    <w:rsid w:val="00494681"/>
    <w:rsid w:val="00494CF4"/>
    <w:rsid w:val="004A0904"/>
    <w:rsid w:val="004A32D6"/>
    <w:rsid w:val="004A365B"/>
    <w:rsid w:val="004A4D80"/>
    <w:rsid w:val="004A6A41"/>
    <w:rsid w:val="004C17F5"/>
    <w:rsid w:val="004C3979"/>
    <w:rsid w:val="004C41F1"/>
    <w:rsid w:val="004D3267"/>
    <w:rsid w:val="004D7023"/>
    <w:rsid w:val="004F1B57"/>
    <w:rsid w:val="004F22D3"/>
    <w:rsid w:val="00503DF8"/>
    <w:rsid w:val="0050487E"/>
    <w:rsid w:val="00505349"/>
    <w:rsid w:val="00506957"/>
    <w:rsid w:val="00523AD7"/>
    <w:rsid w:val="005245B1"/>
    <w:rsid w:val="00534FC5"/>
    <w:rsid w:val="00536AF6"/>
    <w:rsid w:val="00536BF7"/>
    <w:rsid w:val="00540032"/>
    <w:rsid w:val="00540614"/>
    <w:rsid w:val="005408EF"/>
    <w:rsid w:val="00541B64"/>
    <w:rsid w:val="00552C8C"/>
    <w:rsid w:val="00555FD9"/>
    <w:rsid w:val="005563FD"/>
    <w:rsid w:val="00557F77"/>
    <w:rsid w:val="00563D52"/>
    <w:rsid w:val="00565659"/>
    <w:rsid w:val="00573FD3"/>
    <w:rsid w:val="00574D92"/>
    <w:rsid w:val="0058170E"/>
    <w:rsid w:val="00582E4F"/>
    <w:rsid w:val="005846FE"/>
    <w:rsid w:val="005917C2"/>
    <w:rsid w:val="005A0BD7"/>
    <w:rsid w:val="005A28B0"/>
    <w:rsid w:val="005A39D7"/>
    <w:rsid w:val="005B2EFB"/>
    <w:rsid w:val="005B681A"/>
    <w:rsid w:val="005B7DFF"/>
    <w:rsid w:val="005C3E4D"/>
    <w:rsid w:val="005C4DD0"/>
    <w:rsid w:val="005D285E"/>
    <w:rsid w:val="005D377F"/>
    <w:rsid w:val="005D6538"/>
    <w:rsid w:val="005E3740"/>
    <w:rsid w:val="005E5A05"/>
    <w:rsid w:val="005E6BD4"/>
    <w:rsid w:val="005F02BA"/>
    <w:rsid w:val="005F190C"/>
    <w:rsid w:val="005F2001"/>
    <w:rsid w:val="005F319E"/>
    <w:rsid w:val="005F3F03"/>
    <w:rsid w:val="005F56BD"/>
    <w:rsid w:val="00600D58"/>
    <w:rsid w:val="0060110D"/>
    <w:rsid w:val="006131E0"/>
    <w:rsid w:val="006157FE"/>
    <w:rsid w:val="006208E2"/>
    <w:rsid w:val="00622623"/>
    <w:rsid w:val="006233DB"/>
    <w:rsid w:val="006271C2"/>
    <w:rsid w:val="00627D4B"/>
    <w:rsid w:val="00631AC4"/>
    <w:rsid w:val="00635726"/>
    <w:rsid w:val="006369A3"/>
    <w:rsid w:val="00637A30"/>
    <w:rsid w:val="00643E6A"/>
    <w:rsid w:val="0064548A"/>
    <w:rsid w:val="006515FD"/>
    <w:rsid w:val="0065549C"/>
    <w:rsid w:val="00656367"/>
    <w:rsid w:val="006571BD"/>
    <w:rsid w:val="006572CF"/>
    <w:rsid w:val="00663BD7"/>
    <w:rsid w:val="006649D8"/>
    <w:rsid w:val="00664E78"/>
    <w:rsid w:val="00676DA5"/>
    <w:rsid w:val="00680978"/>
    <w:rsid w:val="00681897"/>
    <w:rsid w:val="006838B6"/>
    <w:rsid w:val="006869E1"/>
    <w:rsid w:val="00690345"/>
    <w:rsid w:val="006910EB"/>
    <w:rsid w:val="00693816"/>
    <w:rsid w:val="0069488F"/>
    <w:rsid w:val="00696698"/>
    <w:rsid w:val="006A1B22"/>
    <w:rsid w:val="006A725D"/>
    <w:rsid w:val="006B16B4"/>
    <w:rsid w:val="006B2010"/>
    <w:rsid w:val="006B2A34"/>
    <w:rsid w:val="006B6CA6"/>
    <w:rsid w:val="006B7FFE"/>
    <w:rsid w:val="006C182F"/>
    <w:rsid w:val="006C1B01"/>
    <w:rsid w:val="006E01BE"/>
    <w:rsid w:val="006E1444"/>
    <w:rsid w:val="006E4A20"/>
    <w:rsid w:val="006E6D81"/>
    <w:rsid w:val="006F09BE"/>
    <w:rsid w:val="0070591F"/>
    <w:rsid w:val="0070690D"/>
    <w:rsid w:val="00706C96"/>
    <w:rsid w:val="00706CA8"/>
    <w:rsid w:val="007109BC"/>
    <w:rsid w:val="00710CCE"/>
    <w:rsid w:val="0071220A"/>
    <w:rsid w:val="00730C0F"/>
    <w:rsid w:val="00731E29"/>
    <w:rsid w:val="00733D0E"/>
    <w:rsid w:val="00737F17"/>
    <w:rsid w:val="00746006"/>
    <w:rsid w:val="007500EB"/>
    <w:rsid w:val="0075113D"/>
    <w:rsid w:val="00754A6B"/>
    <w:rsid w:val="0075530F"/>
    <w:rsid w:val="007564FB"/>
    <w:rsid w:val="00760A12"/>
    <w:rsid w:val="00764362"/>
    <w:rsid w:val="0077187C"/>
    <w:rsid w:val="007731B4"/>
    <w:rsid w:val="00775040"/>
    <w:rsid w:val="00777E57"/>
    <w:rsid w:val="00780CBF"/>
    <w:rsid w:val="00786F6C"/>
    <w:rsid w:val="007917CE"/>
    <w:rsid w:val="007938E1"/>
    <w:rsid w:val="007953AA"/>
    <w:rsid w:val="007A3D9D"/>
    <w:rsid w:val="007A44C9"/>
    <w:rsid w:val="007A6E0C"/>
    <w:rsid w:val="007A737C"/>
    <w:rsid w:val="007B0070"/>
    <w:rsid w:val="007B7BA5"/>
    <w:rsid w:val="007C24C5"/>
    <w:rsid w:val="007C2FA5"/>
    <w:rsid w:val="007D0BBD"/>
    <w:rsid w:val="007D1FC7"/>
    <w:rsid w:val="007D2BB0"/>
    <w:rsid w:val="007D2F50"/>
    <w:rsid w:val="007D65D7"/>
    <w:rsid w:val="007D7666"/>
    <w:rsid w:val="007E456D"/>
    <w:rsid w:val="007E530E"/>
    <w:rsid w:val="007E77E0"/>
    <w:rsid w:val="007E7B1C"/>
    <w:rsid w:val="007F1AE8"/>
    <w:rsid w:val="007F238E"/>
    <w:rsid w:val="007F2796"/>
    <w:rsid w:val="007F6870"/>
    <w:rsid w:val="00802F2C"/>
    <w:rsid w:val="00805E8C"/>
    <w:rsid w:val="00807DDD"/>
    <w:rsid w:val="00817B59"/>
    <w:rsid w:val="00821B89"/>
    <w:rsid w:val="00823022"/>
    <w:rsid w:val="008236B3"/>
    <w:rsid w:val="00824093"/>
    <w:rsid w:val="00824C97"/>
    <w:rsid w:val="008321D1"/>
    <w:rsid w:val="00833078"/>
    <w:rsid w:val="00833C7D"/>
    <w:rsid w:val="00836342"/>
    <w:rsid w:val="00836AD6"/>
    <w:rsid w:val="00841159"/>
    <w:rsid w:val="00852AD6"/>
    <w:rsid w:val="0085323B"/>
    <w:rsid w:val="00854DF7"/>
    <w:rsid w:val="00855336"/>
    <w:rsid w:val="00856AF8"/>
    <w:rsid w:val="00861057"/>
    <w:rsid w:val="008611FA"/>
    <w:rsid w:val="008671FC"/>
    <w:rsid w:val="0087155E"/>
    <w:rsid w:val="008738E2"/>
    <w:rsid w:val="00873C3E"/>
    <w:rsid w:val="00875CE6"/>
    <w:rsid w:val="00875D81"/>
    <w:rsid w:val="00881B78"/>
    <w:rsid w:val="00882EE4"/>
    <w:rsid w:val="00885AA2"/>
    <w:rsid w:val="00887BBE"/>
    <w:rsid w:val="00890A8E"/>
    <w:rsid w:val="0089304F"/>
    <w:rsid w:val="008933F7"/>
    <w:rsid w:val="00896919"/>
    <w:rsid w:val="008A08FE"/>
    <w:rsid w:val="008A18B5"/>
    <w:rsid w:val="008A1CD5"/>
    <w:rsid w:val="008A37E9"/>
    <w:rsid w:val="008A529E"/>
    <w:rsid w:val="008A5E22"/>
    <w:rsid w:val="008A660E"/>
    <w:rsid w:val="008A7364"/>
    <w:rsid w:val="008B1FB2"/>
    <w:rsid w:val="008B3A5B"/>
    <w:rsid w:val="008B5CA8"/>
    <w:rsid w:val="008C04FA"/>
    <w:rsid w:val="008C19F7"/>
    <w:rsid w:val="008C2B8F"/>
    <w:rsid w:val="008C65B6"/>
    <w:rsid w:val="008D07E9"/>
    <w:rsid w:val="008D1499"/>
    <w:rsid w:val="008D16FB"/>
    <w:rsid w:val="008D78AE"/>
    <w:rsid w:val="008D7FFC"/>
    <w:rsid w:val="008E27E3"/>
    <w:rsid w:val="008E5393"/>
    <w:rsid w:val="008F2636"/>
    <w:rsid w:val="008F3A6B"/>
    <w:rsid w:val="008F4178"/>
    <w:rsid w:val="008F4279"/>
    <w:rsid w:val="008F4F76"/>
    <w:rsid w:val="008F5A4F"/>
    <w:rsid w:val="009010D3"/>
    <w:rsid w:val="00902FAE"/>
    <w:rsid w:val="009046BE"/>
    <w:rsid w:val="0090578F"/>
    <w:rsid w:val="0090795D"/>
    <w:rsid w:val="00911799"/>
    <w:rsid w:val="0091217E"/>
    <w:rsid w:val="009131C4"/>
    <w:rsid w:val="0092078B"/>
    <w:rsid w:val="00922CF5"/>
    <w:rsid w:val="00926890"/>
    <w:rsid w:val="00927E62"/>
    <w:rsid w:val="009302B8"/>
    <w:rsid w:val="00930CF5"/>
    <w:rsid w:val="00936C58"/>
    <w:rsid w:val="00937C9F"/>
    <w:rsid w:val="00940662"/>
    <w:rsid w:val="00941C37"/>
    <w:rsid w:val="00942A01"/>
    <w:rsid w:val="00950111"/>
    <w:rsid w:val="00951CDD"/>
    <w:rsid w:val="009521FF"/>
    <w:rsid w:val="00957810"/>
    <w:rsid w:val="00963F24"/>
    <w:rsid w:val="0097482D"/>
    <w:rsid w:val="00977B36"/>
    <w:rsid w:val="009804E9"/>
    <w:rsid w:val="009901F1"/>
    <w:rsid w:val="009914CE"/>
    <w:rsid w:val="00992DF0"/>
    <w:rsid w:val="00994E03"/>
    <w:rsid w:val="009953AD"/>
    <w:rsid w:val="00995BD2"/>
    <w:rsid w:val="009A19BE"/>
    <w:rsid w:val="009A28BE"/>
    <w:rsid w:val="009B6201"/>
    <w:rsid w:val="009C0025"/>
    <w:rsid w:val="009C05F9"/>
    <w:rsid w:val="009C073C"/>
    <w:rsid w:val="009C4BE2"/>
    <w:rsid w:val="009C5415"/>
    <w:rsid w:val="009C69B5"/>
    <w:rsid w:val="009C6C2F"/>
    <w:rsid w:val="009D0204"/>
    <w:rsid w:val="009D25C9"/>
    <w:rsid w:val="009D2AC7"/>
    <w:rsid w:val="009E1983"/>
    <w:rsid w:val="009E740A"/>
    <w:rsid w:val="009F1E50"/>
    <w:rsid w:val="009F28BD"/>
    <w:rsid w:val="009F2C05"/>
    <w:rsid w:val="009F399C"/>
    <w:rsid w:val="009F5AA2"/>
    <w:rsid w:val="009F64EE"/>
    <w:rsid w:val="00A0064C"/>
    <w:rsid w:val="00A10B02"/>
    <w:rsid w:val="00A13556"/>
    <w:rsid w:val="00A136DD"/>
    <w:rsid w:val="00A142C4"/>
    <w:rsid w:val="00A16DC6"/>
    <w:rsid w:val="00A1756E"/>
    <w:rsid w:val="00A22121"/>
    <w:rsid w:val="00A236ED"/>
    <w:rsid w:val="00A270C3"/>
    <w:rsid w:val="00A31122"/>
    <w:rsid w:val="00A33343"/>
    <w:rsid w:val="00A35587"/>
    <w:rsid w:val="00A3710A"/>
    <w:rsid w:val="00A432A1"/>
    <w:rsid w:val="00A459ED"/>
    <w:rsid w:val="00A52C15"/>
    <w:rsid w:val="00A56030"/>
    <w:rsid w:val="00A56863"/>
    <w:rsid w:val="00A60C5B"/>
    <w:rsid w:val="00A61499"/>
    <w:rsid w:val="00A72595"/>
    <w:rsid w:val="00A764A9"/>
    <w:rsid w:val="00A77AA5"/>
    <w:rsid w:val="00A805AA"/>
    <w:rsid w:val="00A80E61"/>
    <w:rsid w:val="00A8194E"/>
    <w:rsid w:val="00A81DC5"/>
    <w:rsid w:val="00A85D7B"/>
    <w:rsid w:val="00A86A6B"/>
    <w:rsid w:val="00A90D08"/>
    <w:rsid w:val="00A94204"/>
    <w:rsid w:val="00AA00A7"/>
    <w:rsid w:val="00AA04FD"/>
    <w:rsid w:val="00AA22F6"/>
    <w:rsid w:val="00AA293C"/>
    <w:rsid w:val="00AA49AE"/>
    <w:rsid w:val="00AA4DA6"/>
    <w:rsid w:val="00AA4F06"/>
    <w:rsid w:val="00AA73BE"/>
    <w:rsid w:val="00AB2520"/>
    <w:rsid w:val="00AB73CB"/>
    <w:rsid w:val="00AD2BCF"/>
    <w:rsid w:val="00AD2C71"/>
    <w:rsid w:val="00AE2896"/>
    <w:rsid w:val="00AE5DD5"/>
    <w:rsid w:val="00AE6887"/>
    <w:rsid w:val="00AF3FB8"/>
    <w:rsid w:val="00AF482D"/>
    <w:rsid w:val="00AF7F85"/>
    <w:rsid w:val="00B01988"/>
    <w:rsid w:val="00B0229F"/>
    <w:rsid w:val="00B022D0"/>
    <w:rsid w:val="00B05CE3"/>
    <w:rsid w:val="00B07199"/>
    <w:rsid w:val="00B10D3A"/>
    <w:rsid w:val="00B124D4"/>
    <w:rsid w:val="00B1410F"/>
    <w:rsid w:val="00B14CE8"/>
    <w:rsid w:val="00B170D8"/>
    <w:rsid w:val="00B2043D"/>
    <w:rsid w:val="00B20BDA"/>
    <w:rsid w:val="00B231FB"/>
    <w:rsid w:val="00B25838"/>
    <w:rsid w:val="00B305C8"/>
    <w:rsid w:val="00B314BB"/>
    <w:rsid w:val="00B318FC"/>
    <w:rsid w:val="00B329CA"/>
    <w:rsid w:val="00B44DEA"/>
    <w:rsid w:val="00B457AA"/>
    <w:rsid w:val="00B511FF"/>
    <w:rsid w:val="00B62072"/>
    <w:rsid w:val="00B629BF"/>
    <w:rsid w:val="00B62B65"/>
    <w:rsid w:val="00B652DC"/>
    <w:rsid w:val="00B6588F"/>
    <w:rsid w:val="00B6634C"/>
    <w:rsid w:val="00B72532"/>
    <w:rsid w:val="00B748CC"/>
    <w:rsid w:val="00B755D7"/>
    <w:rsid w:val="00B83E68"/>
    <w:rsid w:val="00B90AF5"/>
    <w:rsid w:val="00B93BA3"/>
    <w:rsid w:val="00B95058"/>
    <w:rsid w:val="00BA220B"/>
    <w:rsid w:val="00BA25D3"/>
    <w:rsid w:val="00BB11C5"/>
    <w:rsid w:val="00BB22EC"/>
    <w:rsid w:val="00BB29F9"/>
    <w:rsid w:val="00BB4756"/>
    <w:rsid w:val="00BB640B"/>
    <w:rsid w:val="00BB7919"/>
    <w:rsid w:val="00BC0DB0"/>
    <w:rsid w:val="00BC27C0"/>
    <w:rsid w:val="00BC58CF"/>
    <w:rsid w:val="00BC5964"/>
    <w:rsid w:val="00BD4152"/>
    <w:rsid w:val="00BD6346"/>
    <w:rsid w:val="00BE46E3"/>
    <w:rsid w:val="00BE4795"/>
    <w:rsid w:val="00BF6C32"/>
    <w:rsid w:val="00C06503"/>
    <w:rsid w:val="00C25359"/>
    <w:rsid w:val="00C302A8"/>
    <w:rsid w:val="00C33705"/>
    <w:rsid w:val="00C33B12"/>
    <w:rsid w:val="00C3542C"/>
    <w:rsid w:val="00C36ABD"/>
    <w:rsid w:val="00C42515"/>
    <w:rsid w:val="00C43678"/>
    <w:rsid w:val="00C46F69"/>
    <w:rsid w:val="00C51B96"/>
    <w:rsid w:val="00C5287B"/>
    <w:rsid w:val="00C5322D"/>
    <w:rsid w:val="00C64B30"/>
    <w:rsid w:val="00C65149"/>
    <w:rsid w:val="00C75F92"/>
    <w:rsid w:val="00C76177"/>
    <w:rsid w:val="00C777B5"/>
    <w:rsid w:val="00C805C6"/>
    <w:rsid w:val="00C8374A"/>
    <w:rsid w:val="00C839DC"/>
    <w:rsid w:val="00C95C74"/>
    <w:rsid w:val="00C97386"/>
    <w:rsid w:val="00CA18E3"/>
    <w:rsid w:val="00CA443B"/>
    <w:rsid w:val="00CB2B58"/>
    <w:rsid w:val="00CB49AC"/>
    <w:rsid w:val="00CC239C"/>
    <w:rsid w:val="00CC2F25"/>
    <w:rsid w:val="00CC3217"/>
    <w:rsid w:val="00CC3C98"/>
    <w:rsid w:val="00CD1E24"/>
    <w:rsid w:val="00CD3375"/>
    <w:rsid w:val="00CE2678"/>
    <w:rsid w:val="00CE4D14"/>
    <w:rsid w:val="00CE5EBD"/>
    <w:rsid w:val="00CE63BA"/>
    <w:rsid w:val="00CE7164"/>
    <w:rsid w:val="00CE7DD3"/>
    <w:rsid w:val="00CF2DFD"/>
    <w:rsid w:val="00CF7BDE"/>
    <w:rsid w:val="00D05D2F"/>
    <w:rsid w:val="00D06F2C"/>
    <w:rsid w:val="00D07666"/>
    <w:rsid w:val="00D0797C"/>
    <w:rsid w:val="00D07B06"/>
    <w:rsid w:val="00D133F3"/>
    <w:rsid w:val="00D13EBB"/>
    <w:rsid w:val="00D222C0"/>
    <w:rsid w:val="00D2610D"/>
    <w:rsid w:val="00D2683F"/>
    <w:rsid w:val="00D2728C"/>
    <w:rsid w:val="00D31616"/>
    <w:rsid w:val="00D35A7F"/>
    <w:rsid w:val="00D36678"/>
    <w:rsid w:val="00D44840"/>
    <w:rsid w:val="00D472E5"/>
    <w:rsid w:val="00D50052"/>
    <w:rsid w:val="00D56A3C"/>
    <w:rsid w:val="00D63E47"/>
    <w:rsid w:val="00D63F42"/>
    <w:rsid w:val="00D65792"/>
    <w:rsid w:val="00D70B9A"/>
    <w:rsid w:val="00D72862"/>
    <w:rsid w:val="00D72930"/>
    <w:rsid w:val="00D743EB"/>
    <w:rsid w:val="00D814A3"/>
    <w:rsid w:val="00D824B4"/>
    <w:rsid w:val="00D83789"/>
    <w:rsid w:val="00D83CEF"/>
    <w:rsid w:val="00D8577F"/>
    <w:rsid w:val="00D903E4"/>
    <w:rsid w:val="00D930E4"/>
    <w:rsid w:val="00D94CFA"/>
    <w:rsid w:val="00D953A5"/>
    <w:rsid w:val="00DA1278"/>
    <w:rsid w:val="00DA3FA1"/>
    <w:rsid w:val="00DA6B36"/>
    <w:rsid w:val="00DB2563"/>
    <w:rsid w:val="00DB3EF7"/>
    <w:rsid w:val="00DB70F4"/>
    <w:rsid w:val="00DC15E5"/>
    <w:rsid w:val="00DC37EE"/>
    <w:rsid w:val="00DC4232"/>
    <w:rsid w:val="00DC521C"/>
    <w:rsid w:val="00DC6893"/>
    <w:rsid w:val="00DD0AAC"/>
    <w:rsid w:val="00DD4A6C"/>
    <w:rsid w:val="00DD6B49"/>
    <w:rsid w:val="00DE11D2"/>
    <w:rsid w:val="00DE1345"/>
    <w:rsid w:val="00DE1C50"/>
    <w:rsid w:val="00DE34ED"/>
    <w:rsid w:val="00DE5CD6"/>
    <w:rsid w:val="00DF7D1F"/>
    <w:rsid w:val="00DF7E5F"/>
    <w:rsid w:val="00E02261"/>
    <w:rsid w:val="00E02AB0"/>
    <w:rsid w:val="00E0336F"/>
    <w:rsid w:val="00E039EF"/>
    <w:rsid w:val="00E0668F"/>
    <w:rsid w:val="00E06C14"/>
    <w:rsid w:val="00E13E55"/>
    <w:rsid w:val="00E13EFC"/>
    <w:rsid w:val="00E17214"/>
    <w:rsid w:val="00E17920"/>
    <w:rsid w:val="00E21105"/>
    <w:rsid w:val="00E306C6"/>
    <w:rsid w:val="00E3497B"/>
    <w:rsid w:val="00E36072"/>
    <w:rsid w:val="00E37DAF"/>
    <w:rsid w:val="00E37EAD"/>
    <w:rsid w:val="00E4452D"/>
    <w:rsid w:val="00E47FC0"/>
    <w:rsid w:val="00E52066"/>
    <w:rsid w:val="00E5403B"/>
    <w:rsid w:val="00E54318"/>
    <w:rsid w:val="00E56EF0"/>
    <w:rsid w:val="00E60B68"/>
    <w:rsid w:val="00E64F9B"/>
    <w:rsid w:val="00E6605F"/>
    <w:rsid w:val="00E73732"/>
    <w:rsid w:val="00E760DC"/>
    <w:rsid w:val="00E764C2"/>
    <w:rsid w:val="00E824E0"/>
    <w:rsid w:val="00E82591"/>
    <w:rsid w:val="00E83B9F"/>
    <w:rsid w:val="00E851DE"/>
    <w:rsid w:val="00E8585C"/>
    <w:rsid w:val="00E91107"/>
    <w:rsid w:val="00E9282B"/>
    <w:rsid w:val="00E9293D"/>
    <w:rsid w:val="00E957F1"/>
    <w:rsid w:val="00E95954"/>
    <w:rsid w:val="00E962C5"/>
    <w:rsid w:val="00E96356"/>
    <w:rsid w:val="00E96995"/>
    <w:rsid w:val="00EA18FB"/>
    <w:rsid w:val="00EA2457"/>
    <w:rsid w:val="00EA2EC1"/>
    <w:rsid w:val="00EA3C70"/>
    <w:rsid w:val="00EB2848"/>
    <w:rsid w:val="00EB3B19"/>
    <w:rsid w:val="00EB6005"/>
    <w:rsid w:val="00EB7B49"/>
    <w:rsid w:val="00EC2294"/>
    <w:rsid w:val="00EC46D2"/>
    <w:rsid w:val="00EC70CC"/>
    <w:rsid w:val="00EC77B6"/>
    <w:rsid w:val="00ED1B10"/>
    <w:rsid w:val="00ED493B"/>
    <w:rsid w:val="00EE13A3"/>
    <w:rsid w:val="00EE1E76"/>
    <w:rsid w:val="00EE2051"/>
    <w:rsid w:val="00EE5439"/>
    <w:rsid w:val="00EE6D26"/>
    <w:rsid w:val="00EF386D"/>
    <w:rsid w:val="00F01790"/>
    <w:rsid w:val="00F04434"/>
    <w:rsid w:val="00F04D6F"/>
    <w:rsid w:val="00F0506E"/>
    <w:rsid w:val="00F10A6F"/>
    <w:rsid w:val="00F11C76"/>
    <w:rsid w:val="00F12189"/>
    <w:rsid w:val="00F1539D"/>
    <w:rsid w:val="00F21703"/>
    <w:rsid w:val="00F2337B"/>
    <w:rsid w:val="00F24F5E"/>
    <w:rsid w:val="00F2634B"/>
    <w:rsid w:val="00F34D5E"/>
    <w:rsid w:val="00F40454"/>
    <w:rsid w:val="00F4084B"/>
    <w:rsid w:val="00F43E71"/>
    <w:rsid w:val="00F47FA8"/>
    <w:rsid w:val="00F5643A"/>
    <w:rsid w:val="00F567ED"/>
    <w:rsid w:val="00F56974"/>
    <w:rsid w:val="00F57420"/>
    <w:rsid w:val="00F57482"/>
    <w:rsid w:val="00F61359"/>
    <w:rsid w:val="00F6594C"/>
    <w:rsid w:val="00F66845"/>
    <w:rsid w:val="00F70E40"/>
    <w:rsid w:val="00F74398"/>
    <w:rsid w:val="00F754E4"/>
    <w:rsid w:val="00F75C2E"/>
    <w:rsid w:val="00F767C0"/>
    <w:rsid w:val="00F83F51"/>
    <w:rsid w:val="00F842EA"/>
    <w:rsid w:val="00F86436"/>
    <w:rsid w:val="00F913CD"/>
    <w:rsid w:val="00F92D65"/>
    <w:rsid w:val="00F96CA2"/>
    <w:rsid w:val="00FA0E76"/>
    <w:rsid w:val="00FA5ABD"/>
    <w:rsid w:val="00FB7A83"/>
    <w:rsid w:val="00FC42DF"/>
    <w:rsid w:val="00FC44C7"/>
    <w:rsid w:val="00FC520B"/>
    <w:rsid w:val="00FD2121"/>
    <w:rsid w:val="00FD6440"/>
    <w:rsid w:val="00FD6663"/>
    <w:rsid w:val="00FD765F"/>
    <w:rsid w:val="00FE0626"/>
    <w:rsid w:val="00FE4319"/>
    <w:rsid w:val="00FE4DAA"/>
    <w:rsid w:val="00FE583D"/>
    <w:rsid w:val="00FF081E"/>
    <w:rsid w:val="00FF37DC"/>
    <w:rsid w:val="00FF602F"/>
    <w:rsid w:val="00FF6188"/>
    <w:rsid w:val="40440ED9"/>
    <w:rsid w:val="4188594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f49100" strokecolor="#f49100">
      <v:fill color="#f49100" on="f"/>
      <v:stroke color="#f49100"/>
      <o:colormru v:ext="edit" colors="#f49100,#8f9286"/>
    </o:shapedefaults>
    <o:shapelayout v:ext="edit">
      <o:idmap v:ext="edit" data="2"/>
    </o:shapelayout>
  </w:shapeDefaults>
  <w:decimalSymbol w:val="."/>
  <w:listSeparator w:val=","/>
  <w14:docId w14:val="2B2F0B39"/>
  <w15:chartTrackingRefBased/>
  <w15:docId w15:val="{A85EA21C-230D-49D7-B593-A22FC709E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ngsana New"/>
        <w:lang w:val="en-US" w:eastAsia="ja-JP"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0C92"/>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pPr>
    <w:rPr>
      <w:sz w:val="30"/>
      <w:szCs w:val="30"/>
      <w:lang w:eastAsia="en-US"/>
    </w:rPr>
  </w:style>
  <w:style w:type="paragraph" w:styleId="Heading1">
    <w:name w:val="heading 1"/>
    <w:basedOn w:val="Normal"/>
    <w:next w:val="Normal"/>
    <w:qFormat/>
    <w:pPr>
      <w:keepNext/>
      <w:numPr>
        <w:numId w:val="14"/>
      </w:numPr>
      <w:shd w:val="solid" w:color="FFFFFF" w:fill="FFFFFF"/>
      <w:tabs>
        <w:tab w:val="clear" w:pos="227"/>
        <w:tab w:val="clear" w:pos="283"/>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ind w:left="0" w:hanging="284"/>
      <w:outlineLvl w:val="0"/>
    </w:pPr>
    <w:rPr>
      <w:b/>
      <w:bCs/>
      <w:u w:val="single"/>
    </w:rPr>
  </w:style>
  <w:style w:type="paragraph" w:styleId="Heading2">
    <w:name w:val="heading 2"/>
    <w:basedOn w:val="Normal"/>
    <w:next w:val="Normal"/>
    <w:qFormat/>
    <w:pPr>
      <w:keepNext/>
      <w:tabs>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outlineLvl w:val="1"/>
    </w:pPr>
    <w:rPr>
      <w:b/>
      <w:bCs/>
    </w:rPr>
  </w:style>
  <w:style w:type="paragraph" w:styleId="Heading3">
    <w:name w:val="heading 3"/>
    <w:basedOn w:val="Normal"/>
    <w:next w:val="Normal"/>
    <w:qFormat/>
    <w:pPr>
      <w:keepNext/>
      <w:tabs>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outlineLvl w:val="2"/>
    </w:pPr>
    <w:rPr>
      <w:i/>
      <w:iCs/>
    </w:rPr>
  </w:style>
  <w:style w:type="paragraph" w:styleId="Heading4">
    <w:name w:val="heading 4"/>
    <w:basedOn w:val="Normal"/>
    <w:next w:val="Normal"/>
    <w:qFormat/>
    <w:pPr>
      <w:keepNext/>
      <w:framePr w:w="2410" w:h="1559" w:hSpace="142" w:wrap="around" w:vAnchor="page" w:hAnchor="page" w:x="1532" w:y="2496"/>
      <w:tabs>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outlineLvl w:val="3"/>
    </w:pPr>
    <w:rPr>
      <w:b/>
      <w:bCs/>
    </w:rPr>
  </w:style>
  <w:style w:type="paragraph" w:styleId="Heading5">
    <w:name w:val="heading 5"/>
    <w:basedOn w:val="Normal"/>
    <w:next w:val="Normal"/>
    <w:link w:val="Heading5Char"/>
    <w:qFormat/>
    <w:pPr>
      <w:keepNext/>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outlineLvl w:val="4"/>
    </w:pPr>
    <w:rPr>
      <w:b/>
      <w:bCs/>
      <w:sz w:val="32"/>
      <w:szCs w:val="32"/>
      <w:lang w:val="x-none" w:eastAsia="x-none"/>
    </w:rPr>
  </w:style>
  <w:style w:type="paragraph" w:styleId="Heading6">
    <w:name w:val="heading 6"/>
    <w:basedOn w:val="Normal"/>
    <w:next w:val="Normal"/>
    <w:qFormat/>
    <w:pPr>
      <w:keepNext/>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outlineLvl w:val="5"/>
    </w:pPr>
    <w:rPr>
      <w:b/>
      <w:bCs/>
      <w:sz w:val="28"/>
      <w:szCs w:val="28"/>
    </w:rPr>
  </w:style>
  <w:style w:type="paragraph" w:styleId="Heading7">
    <w:name w:val="heading 7"/>
    <w:basedOn w:val="Normal"/>
    <w:next w:val="Normal"/>
    <w:qFormat/>
    <w:pPr>
      <w:keepNext/>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outlineLvl w:val="6"/>
    </w:pPr>
    <w:rPr>
      <w:sz w:val="26"/>
      <w:szCs w:val="26"/>
    </w:rPr>
  </w:style>
  <w:style w:type="paragraph" w:styleId="Heading8">
    <w:name w:val="heading 8"/>
    <w:basedOn w:val="Normal"/>
    <w:next w:val="Normal"/>
    <w:qFormat/>
    <w:pPr>
      <w:keepNext/>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outlineLvl w:val="7"/>
    </w:pPr>
    <w:rPr>
      <w:b/>
      <w:bCs/>
    </w:rPr>
  </w:style>
  <w:style w:type="paragraph" w:styleId="Heading9">
    <w:name w:val="heading 9"/>
    <w:basedOn w:val="Normal"/>
    <w:next w:val="Normal"/>
    <w:qFormat/>
    <w:pPr>
      <w:keepNext/>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08"/>
      <w:outlineLvl w:val="8"/>
    </w:pPr>
    <w:rPr>
      <w:spacing w:val="-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character" w:customStyle="1" w:styleId="AAAddress">
    <w:name w:val="AA Address"/>
    <w:rPr>
      <w:rFonts w:ascii="Arial" w:hAnsi="Arial"/>
      <w:dstrike w:val="0"/>
      <w:noProof w:val="0"/>
      <w:color w:val="auto"/>
      <w:spacing w:val="0"/>
      <w:w w:val="100"/>
      <w:position w:val="0"/>
      <w:sz w:val="14"/>
      <w:szCs w:val="14"/>
      <w:u w:val="none"/>
      <w:vertAlign w:val="baseline"/>
      <w:lang w:val="en-US" w:bidi="th-TH"/>
    </w:rPr>
  </w:style>
  <w:style w:type="character" w:customStyle="1" w:styleId="AAReference">
    <w:name w:val="AA Reference"/>
    <w:rPr>
      <w:rFonts w:ascii="Arial" w:hAnsi="Arial"/>
      <w:dstrike w:val="0"/>
      <w:noProof w:val="0"/>
      <w:color w:val="auto"/>
      <w:spacing w:val="0"/>
      <w:w w:val="100"/>
      <w:position w:val="0"/>
      <w:sz w:val="14"/>
      <w:szCs w:val="14"/>
      <w:vertAlign w:val="baseline"/>
      <w:lang w:val="en-US" w:bidi="th-TH"/>
    </w:rPr>
  </w:style>
  <w:style w:type="paragraph" w:styleId="Footer">
    <w:name w:val="footer"/>
    <w:basedOn w:val="Normal"/>
    <w:link w:val="FooterChar"/>
    <w:uiPriority w:val="99"/>
    <w:pPr>
      <w:tabs>
        <w:tab w:val="center" w:pos="4536"/>
        <w:tab w:val="right" w:pos="9072"/>
      </w:tabs>
    </w:pPr>
    <w:rPr>
      <w:lang w:val="x-none" w:eastAsia="x-none"/>
    </w:rPr>
  </w:style>
  <w:style w:type="paragraph" w:styleId="Caption">
    <w:name w:val="caption"/>
    <w:basedOn w:val="Normal"/>
    <w:next w:val="Normal"/>
    <w:qFormat/>
    <w:rPr>
      <w:b/>
      <w:bCs/>
    </w:rPr>
  </w:style>
  <w:style w:type="paragraph" w:styleId="ListBullet">
    <w:name w:val="List Bullet"/>
    <w:basedOn w:val="Normal"/>
    <w:pPr>
      <w:numPr>
        <w:numId w:val="3"/>
      </w:numPr>
      <w:tabs>
        <w:tab w:val="clear" w:pos="360"/>
        <w:tab w:val="left" w:pos="284"/>
      </w:tabs>
      <w:ind w:left="284" w:hanging="284"/>
    </w:pPr>
  </w:style>
  <w:style w:type="paragraph" w:styleId="ListBullet2">
    <w:name w:val="List Bullet 2"/>
    <w:basedOn w:val="Normal"/>
    <w:pPr>
      <w:numPr>
        <w:numId w:val="4"/>
      </w:numPr>
      <w:tabs>
        <w:tab w:val="clear" w:pos="643"/>
        <w:tab w:val="left" w:pos="567"/>
      </w:tabs>
      <w:ind w:left="851" w:hanging="284"/>
    </w:pPr>
  </w:style>
  <w:style w:type="paragraph" w:styleId="ListBullet3">
    <w:name w:val="List Bullet 3"/>
    <w:basedOn w:val="Normal"/>
    <w:pPr>
      <w:numPr>
        <w:numId w:val="1"/>
      </w:numPr>
      <w:tabs>
        <w:tab w:val="clear" w:pos="926"/>
        <w:tab w:val="left" w:pos="851"/>
      </w:tabs>
      <w:ind w:left="1135" w:hanging="284"/>
    </w:pPr>
  </w:style>
  <w:style w:type="paragraph" w:styleId="ListBullet4">
    <w:name w:val="List Bullet 4"/>
    <w:basedOn w:val="Normal"/>
    <w:pPr>
      <w:numPr>
        <w:numId w:val="2"/>
      </w:numPr>
      <w:tabs>
        <w:tab w:val="clear" w:pos="1209"/>
        <w:tab w:val="left" w:pos="1134"/>
      </w:tabs>
      <w:ind w:left="1418" w:hanging="284"/>
    </w:pPr>
  </w:style>
  <w:style w:type="paragraph" w:styleId="ListNumber">
    <w:name w:val="List Number"/>
    <w:basedOn w:val="Normal"/>
    <w:pPr>
      <w:numPr>
        <w:numId w:val="5"/>
      </w:numPr>
      <w:tabs>
        <w:tab w:val="clear" w:pos="360"/>
        <w:tab w:val="left" w:pos="284"/>
      </w:tabs>
      <w:ind w:left="284" w:hanging="284"/>
    </w:pPr>
  </w:style>
  <w:style w:type="paragraph" w:styleId="ListNumber2">
    <w:name w:val="List Number 2"/>
    <w:basedOn w:val="Normal"/>
    <w:pPr>
      <w:numPr>
        <w:numId w:val="6"/>
      </w:numPr>
      <w:tabs>
        <w:tab w:val="clear" w:pos="643"/>
        <w:tab w:val="left" w:pos="567"/>
      </w:tabs>
      <w:ind w:left="851" w:hanging="284"/>
    </w:pPr>
  </w:style>
  <w:style w:type="paragraph" w:styleId="ListNumber3">
    <w:name w:val="List Number 3"/>
    <w:basedOn w:val="Normal"/>
    <w:pPr>
      <w:numPr>
        <w:numId w:val="7"/>
      </w:numPr>
      <w:tabs>
        <w:tab w:val="clear" w:pos="926"/>
        <w:tab w:val="left" w:pos="851"/>
      </w:tabs>
      <w:ind w:left="1135" w:hanging="284"/>
    </w:pPr>
  </w:style>
  <w:style w:type="paragraph" w:styleId="NormalIndent">
    <w:name w:val="Normal Indent"/>
    <w:basedOn w:val="Normal"/>
    <w:pPr>
      <w:ind w:left="284"/>
    </w:pPr>
  </w:style>
  <w:style w:type="paragraph" w:customStyle="1" w:styleId="AAFrameAddress">
    <w:name w:val="AA Frame Address"/>
    <w:basedOn w:val="Heading1"/>
    <w:pPr>
      <w:framePr w:w="2812" w:h="1701" w:hSpace="142" w:vSpace="142" w:wrap="around" w:vAnchor="page" w:hAnchor="page" w:x="8024" w:y="2723"/>
      <w:shd w:val="clear" w:color="FFFFFF" w:fill="auto"/>
      <w:spacing w:after="90" w:line="240" w:lineRule="auto"/>
    </w:pPr>
    <w:rPr>
      <w:noProof/>
    </w:rPr>
  </w:style>
  <w:style w:type="paragraph" w:styleId="ListNumber5">
    <w:name w:val="List Number 5"/>
    <w:basedOn w:val="Normal"/>
    <w:pPr>
      <w:numPr>
        <w:numId w:val="8"/>
      </w:numPr>
      <w:tabs>
        <w:tab w:val="clear" w:pos="1492"/>
        <w:tab w:val="left" w:pos="1418"/>
      </w:tabs>
      <w:ind w:left="1418" w:hanging="284"/>
    </w:pPr>
  </w:style>
  <w:style w:type="paragraph" w:styleId="ListNumber4">
    <w:name w:val="List Number 4"/>
    <w:basedOn w:val="Normal"/>
    <w:pPr>
      <w:numPr>
        <w:numId w:val="9"/>
      </w:numPr>
      <w:tabs>
        <w:tab w:val="clear" w:pos="1209"/>
        <w:tab w:val="left" w:pos="1418"/>
      </w:tabs>
    </w:pPr>
  </w:style>
  <w:style w:type="paragraph" w:styleId="TableofAuthorities">
    <w:name w:val="table of authorities"/>
    <w:basedOn w:val="Normal"/>
    <w:next w:val="Normal"/>
    <w:semiHidden/>
    <w:pPr>
      <w:ind w:left="284" w:hanging="284"/>
    </w:pPr>
  </w:style>
  <w:style w:type="paragraph" w:styleId="Index1">
    <w:name w:val="index 1"/>
    <w:basedOn w:val="Normal"/>
    <w:next w:val="Normal"/>
    <w:autoRedefine/>
    <w:semiHidden/>
    <w:pPr>
      <w:ind w:left="284" w:hanging="284"/>
    </w:pPr>
  </w:style>
  <w:style w:type="paragraph" w:styleId="Index2">
    <w:name w:val="index 2"/>
    <w:basedOn w:val="Normal"/>
    <w:next w:val="Normal"/>
    <w:autoRedefine/>
    <w:semiHidden/>
    <w:pPr>
      <w:ind w:left="568" w:hanging="284"/>
    </w:pPr>
  </w:style>
  <w:style w:type="paragraph" w:styleId="Index3">
    <w:name w:val="index 3"/>
    <w:basedOn w:val="Normal"/>
    <w:next w:val="Normal"/>
    <w:autoRedefine/>
    <w:semiHidden/>
    <w:pPr>
      <w:ind w:left="851" w:hanging="284"/>
    </w:pPr>
  </w:style>
  <w:style w:type="paragraph" w:styleId="Index4">
    <w:name w:val="index 4"/>
    <w:basedOn w:val="Normal"/>
    <w:next w:val="Normal"/>
    <w:semiHidden/>
    <w:pPr>
      <w:ind w:left="1135" w:hanging="284"/>
    </w:pPr>
  </w:style>
  <w:style w:type="paragraph" w:styleId="Index6">
    <w:name w:val="index 6"/>
    <w:basedOn w:val="Normal"/>
    <w:next w:val="Normal"/>
    <w:semiHidden/>
    <w:pPr>
      <w:ind w:left="1702" w:hanging="284"/>
    </w:pPr>
  </w:style>
  <w:style w:type="paragraph" w:styleId="Index5">
    <w:name w:val="index 5"/>
    <w:basedOn w:val="Normal"/>
    <w:next w:val="Normal"/>
    <w:semiHidden/>
    <w:pPr>
      <w:ind w:left="1418" w:hanging="284"/>
    </w:pPr>
  </w:style>
  <w:style w:type="paragraph" w:styleId="Index7">
    <w:name w:val="index 7"/>
    <w:basedOn w:val="Normal"/>
    <w:next w:val="Normal"/>
    <w:semiHidden/>
    <w:pPr>
      <w:ind w:left="1985" w:hanging="284"/>
    </w:pPr>
  </w:style>
  <w:style w:type="paragraph" w:styleId="Index8">
    <w:name w:val="index 8"/>
    <w:basedOn w:val="Normal"/>
    <w:next w:val="Normal"/>
    <w:semiHidden/>
    <w:pPr>
      <w:ind w:left="2269" w:hanging="284"/>
    </w:pPr>
  </w:style>
  <w:style w:type="paragraph" w:styleId="Index9">
    <w:name w:val="index 9"/>
    <w:basedOn w:val="Normal"/>
    <w:next w:val="Normal"/>
    <w:semiHidden/>
    <w:pPr>
      <w:ind w:left="2552" w:hanging="284"/>
    </w:pPr>
  </w:style>
  <w:style w:type="paragraph" w:styleId="TOC2">
    <w:name w:val="toc 2"/>
    <w:basedOn w:val="Normal"/>
    <w:next w:val="Normal"/>
    <w:semiHidden/>
    <w:pPr>
      <w:tabs>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before="240"/>
    </w:pPr>
    <w:rPr>
      <w:b/>
      <w:bCs/>
    </w:rPr>
  </w:style>
  <w:style w:type="paragraph" w:styleId="TOC3">
    <w:name w:val="toc 3"/>
    <w:basedOn w:val="Normal"/>
    <w:next w:val="Normal"/>
    <w:semiHidden/>
    <w:pPr>
      <w:tabs>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after="240"/>
    </w:pPr>
  </w:style>
  <w:style w:type="paragraph" w:styleId="TOC4">
    <w:name w:val="toc 4"/>
    <w:basedOn w:val="Normal"/>
    <w:next w:val="Normal"/>
    <w:semiHidden/>
    <w:pPr>
      <w:ind w:left="851"/>
    </w:pPr>
  </w:style>
  <w:style w:type="paragraph" w:styleId="TOC5">
    <w:name w:val="toc 5"/>
    <w:basedOn w:val="Normal"/>
    <w:next w:val="Normal"/>
    <w:semiHidden/>
    <w:pPr>
      <w:ind w:left="1134"/>
    </w:pPr>
  </w:style>
  <w:style w:type="paragraph" w:styleId="TOC6">
    <w:name w:val="toc 6"/>
    <w:basedOn w:val="Normal"/>
    <w:next w:val="Normal"/>
    <w:semiHidden/>
    <w:pPr>
      <w:ind w:left="1418"/>
    </w:pPr>
  </w:style>
  <w:style w:type="paragraph" w:styleId="TOC7">
    <w:name w:val="toc 7"/>
    <w:basedOn w:val="Normal"/>
    <w:next w:val="Normal"/>
    <w:semiHidden/>
    <w:pPr>
      <w:ind w:left="1701"/>
    </w:pPr>
  </w:style>
  <w:style w:type="paragraph" w:styleId="TOC8">
    <w:name w:val="toc 8"/>
    <w:basedOn w:val="Normal"/>
    <w:next w:val="Normal"/>
    <w:semiHidden/>
    <w:pPr>
      <w:ind w:left="1985"/>
    </w:pPr>
  </w:style>
  <w:style w:type="paragraph" w:styleId="TOC9">
    <w:name w:val="toc 9"/>
    <w:basedOn w:val="Normal"/>
    <w:next w:val="Normal"/>
    <w:semiHidden/>
    <w:pPr>
      <w:ind w:left="2268"/>
    </w:pPr>
  </w:style>
  <w:style w:type="paragraph" w:styleId="TableofFigures">
    <w:name w:val="table of figures"/>
    <w:basedOn w:val="Normal"/>
    <w:next w:val="Normal"/>
    <w:semiHidden/>
    <w:pPr>
      <w:ind w:left="567" w:hanging="567"/>
    </w:pPr>
  </w:style>
  <w:style w:type="paragraph" w:styleId="ListBullet5">
    <w:name w:val="List Bullet 5"/>
    <w:basedOn w:val="Normal"/>
    <w:pPr>
      <w:numPr>
        <w:numId w:val="10"/>
      </w:numPr>
      <w:tabs>
        <w:tab w:val="clear" w:pos="1492"/>
        <w:tab w:val="left" w:pos="1418"/>
      </w:tabs>
      <w:ind w:left="1702" w:hanging="284"/>
    </w:pPr>
  </w:style>
  <w:style w:type="paragraph" w:styleId="BodyText">
    <w:name w:val="Body Text"/>
    <w:basedOn w:val="Normal"/>
    <w:pPr>
      <w:spacing w:after="120"/>
    </w:pPr>
  </w:style>
  <w:style w:type="paragraph" w:styleId="BodyTextFirstIndent">
    <w:name w:val="Body Text First Indent"/>
    <w:basedOn w:val="BodyText"/>
    <w:pPr>
      <w:ind w:firstLine="284"/>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left="284" w:firstLine="284"/>
    </w:pPr>
  </w:style>
  <w:style w:type="character" w:styleId="Strong">
    <w:name w:val="Strong"/>
    <w:qFormat/>
    <w:rPr>
      <w:rFonts w:cs="Times New Roman"/>
      <w:b/>
      <w:bCs/>
      <w:lang w:bidi="th-TH"/>
    </w:rPr>
  </w:style>
  <w:style w:type="paragraph" w:customStyle="1" w:styleId="AA1stlevelbullet">
    <w:name w:val="AA 1st level bullet"/>
    <w:basedOn w:val="Normal"/>
    <w:pPr>
      <w:numPr>
        <w:numId w:val="11"/>
      </w:numPr>
      <w:tabs>
        <w:tab w:val="clear" w:pos="283"/>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ind w:left="227" w:hanging="227"/>
    </w:pPr>
  </w:style>
  <w:style w:type="paragraph" w:customStyle="1" w:styleId="AAFrameLogo">
    <w:name w:val="AA Frame Logo"/>
    <w:basedOn w:val="Normal"/>
    <w:pPr>
      <w:framePr w:w="4253" w:h="1418" w:hRule="exact" w:hSpace="142" w:vSpace="142" w:wrap="around" w:vAnchor="page" w:hAnchor="page" w:x="7457" w:y="568"/>
    </w:pPr>
  </w:style>
  <w:style w:type="character" w:customStyle="1" w:styleId="AACopyright">
    <w:name w:val="AA Copyright"/>
    <w:rPr>
      <w:rFonts w:ascii="Arial" w:hAnsi="Arial"/>
      <w:sz w:val="13"/>
      <w:szCs w:val="13"/>
      <w:lang w:bidi="th-TH"/>
    </w:rPr>
  </w:style>
  <w:style w:type="paragraph" w:customStyle="1" w:styleId="AA2ndlevelbullet">
    <w:name w:val="AA 2nd level bullet"/>
    <w:basedOn w:val="AA1stlevelbullet"/>
    <w:pPr>
      <w:numPr>
        <w:numId w:val="15"/>
      </w:numPr>
      <w:tabs>
        <w:tab w:val="clear" w:pos="227"/>
        <w:tab w:val="clear" w:pos="283"/>
        <w:tab w:val="left" w:pos="454"/>
        <w:tab w:val="left" w:pos="680"/>
        <w:tab w:val="left" w:pos="907"/>
      </w:tabs>
      <w:ind w:left="454" w:hanging="227"/>
    </w:pPr>
  </w:style>
  <w:style w:type="paragraph" w:customStyle="1" w:styleId="AANumbering">
    <w:name w:val="AA Numbering"/>
    <w:basedOn w:val="Normal"/>
    <w:pPr>
      <w:numPr>
        <w:numId w:val="12"/>
      </w:numPr>
      <w:tabs>
        <w:tab w:val="clear" w:pos="227"/>
        <w:tab w:val="clear" w:pos="283"/>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284"/>
      </w:tabs>
      <w:ind w:left="0" w:firstLine="0"/>
    </w:pPr>
  </w:style>
  <w:style w:type="paragraph" w:styleId="TOC1">
    <w:name w:val="toc 1"/>
    <w:basedOn w:val="Normal"/>
    <w:next w:val="Normal"/>
    <w:semiHidden/>
    <w:pPr>
      <w:tabs>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pPr>
  </w:style>
  <w:style w:type="paragraph" w:customStyle="1" w:styleId="ReportMenuBar">
    <w:name w:val="ReportMenuBar"/>
    <w:basedOn w:val="Normal"/>
    <w:pPr>
      <w:tabs>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pPr>
    <w:rPr>
      <w:b/>
      <w:bCs/>
      <w:color w:val="FFFFFF"/>
    </w:rPr>
  </w:style>
  <w:style w:type="paragraph" w:customStyle="1" w:styleId="ReportHeading1">
    <w:name w:val="ReportHeading1"/>
    <w:basedOn w:val="Normal"/>
    <w:pPr>
      <w:framePr w:w="6521" w:h="1055" w:hSpace="142" w:wrap="around" w:vAnchor="page" w:hAnchor="page" w:x="1441" w:y="4452"/>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300" w:lineRule="atLeast"/>
    </w:pPr>
    <w:rPr>
      <w:b/>
      <w:bCs/>
      <w:sz w:val="24"/>
      <w:szCs w:val="24"/>
    </w:rPr>
  </w:style>
  <w:style w:type="paragraph" w:customStyle="1" w:styleId="ReportHeading2">
    <w:name w:val="ReportHeading2"/>
    <w:basedOn w:val="ReportHeading1"/>
    <w:pPr>
      <w:framePr w:h="1054" w:wrap="around" w:y="5920"/>
    </w:pPr>
  </w:style>
  <w:style w:type="paragraph" w:customStyle="1" w:styleId="ReportHeading3">
    <w:name w:val="ReportHeading3"/>
    <w:basedOn w:val="ReportHeading2"/>
    <w:pPr>
      <w:framePr w:h="443" w:wrap="around" w:y="8223"/>
    </w:pPr>
  </w:style>
  <w:style w:type="paragraph" w:customStyle="1" w:styleId="a">
    <w:name w:val="¢éÍ¤ÇÒÁ"/>
    <w:basedOn w:val="Normal"/>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1080"/>
      </w:tabs>
      <w:spacing w:line="240" w:lineRule="auto"/>
    </w:pPr>
    <w:rPr>
      <w:lang w:val="th-TH"/>
    </w:rPr>
  </w:style>
  <w:style w:type="paragraph" w:customStyle="1" w:styleId="ParagraphNumbering">
    <w:name w:val="Paragraph Numbering"/>
    <w:basedOn w:val="Header"/>
    <w:pPr>
      <w:numPr>
        <w:numId w:val="13"/>
      </w:numPr>
      <w:tabs>
        <w:tab w:val="clear" w:pos="227"/>
        <w:tab w:val="clear" w:pos="454"/>
        <w:tab w:val="clear" w:pos="705"/>
        <w:tab w:val="clear" w:pos="907"/>
        <w:tab w:val="clear" w:pos="1644"/>
        <w:tab w:val="clear" w:pos="1871"/>
        <w:tab w:val="clear" w:pos="2580"/>
        <w:tab w:val="clear" w:pos="2807"/>
        <w:tab w:val="clear" w:pos="3515"/>
        <w:tab w:val="clear" w:pos="3742"/>
        <w:tab w:val="clear" w:pos="4451"/>
        <w:tab w:val="clear" w:pos="4536"/>
        <w:tab w:val="clear" w:pos="4678"/>
        <w:tab w:val="clear" w:pos="5387"/>
        <w:tab w:val="clear" w:pos="5613"/>
        <w:tab w:val="clear" w:pos="6322"/>
        <w:tab w:val="clear" w:pos="6549"/>
        <w:tab w:val="clear" w:pos="9072"/>
        <w:tab w:val="left" w:pos="284"/>
      </w:tabs>
      <w:ind w:left="0" w:firstLine="0"/>
    </w:pPr>
  </w:style>
  <w:style w:type="paragraph" w:customStyle="1" w:styleId="PictureInText">
    <w:name w:val="PictureInText"/>
    <w:basedOn w:val="Normal"/>
    <w:next w:val="Normal"/>
    <w:pPr>
      <w:framePr w:w="7308" w:h="1134" w:hSpace="180" w:vSpace="180" w:wrap="notBeside" w:vAnchor="text" w:hAnchor="margin" w:x="1" w:y="7"/>
      <w:spacing w:after="240"/>
    </w:pPr>
  </w:style>
  <w:style w:type="paragraph" w:customStyle="1" w:styleId="PictureLeft">
    <w:name w:val="PictureLeft"/>
    <w:basedOn w:val="Normal"/>
    <w:pPr>
      <w:framePr w:w="2603" w:h="1134" w:hSpace="142" w:wrap="around" w:vAnchor="text" w:hAnchor="page" w:x="1526" w:y="6"/>
      <w:spacing w:before="240"/>
    </w:pPr>
  </w:style>
  <w:style w:type="paragraph" w:customStyle="1" w:styleId="PicturteLeftFullLength">
    <w:name w:val="PicturteLeftFullLength"/>
    <w:basedOn w:val="PictureLeft"/>
    <w:pPr>
      <w:framePr w:w="10142" w:hSpace="180" w:vSpace="180" w:wrap="around" w:y="7"/>
    </w:pPr>
  </w:style>
  <w:style w:type="paragraph" w:customStyle="1" w:styleId="AAheadingwocontents">
    <w:name w:val="AA heading wo contents"/>
    <w:basedOn w:val="Normal"/>
    <w:pPr>
      <w:spacing w:line="280" w:lineRule="atLeast"/>
    </w:pPr>
    <w:rPr>
      <w:b/>
      <w:bCs/>
      <w:sz w:val="22"/>
      <w:szCs w:val="22"/>
    </w:rPr>
  </w:style>
  <w:style w:type="paragraph" w:customStyle="1" w:styleId="StandaardOpinion">
    <w:name w:val="StandaardOpinion"/>
    <w:basedOn w:val="Normal"/>
    <w:pPr>
      <w:spacing w:line="280" w:lineRule="atLeast"/>
    </w:pPr>
    <w:rPr>
      <w:sz w:val="22"/>
      <w:szCs w:val="22"/>
    </w:rPr>
  </w:style>
  <w:style w:type="paragraph" w:customStyle="1" w:styleId="T">
    <w:name w:val="Å§ª×Í T"/>
    <w:basedOn w:val="Normal"/>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left="5040" w:right="540"/>
      <w:jc w:val="center"/>
    </w:pPr>
    <w:rPr>
      <w:lang w:val="th-TH"/>
    </w:rPr>
  </w:style>
  <w:style w:type="character" w:styleId="PageNumber">
    <w:name w:val="page number"/>
    <w:basedOn w:val="DefaultParagraphFont"/>
  </w:style>
  <w:style w:type="paragraph" w:customStyle="1" w:styleId="3">
    <w:name w:val="?????3????"/>
    <w:basedOn w:val="Normal"/>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360"/>
        <w:tab w:val="left" w:pos="720"/>
      </w:tabs>
      <w:spacing w:line="240" w:lineRule="auto"/>
    </w:pPr>
    <w:rPr>
      <w:sz w:val="22"/>
      <w:szCs w:val="22"/>
      <w:lang w:val="th-TH"/>
    </w:rPr>
  </w:style>
  <w:style w:type="paragraph" w:customStyle="1" w:styleId="a0">
    <w:name w:val="???"/>
    <w:basedOn w:val="Normal"/>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29"/>
      <w:jc w:val="right"/>
    </w:pPr>
    <w:rPr>
      <w:sz w:val="22"/>
      <w:szCs w:val="22"/>
      <w:lang w:val="th-TH"/>
    </w:rPr>
  </w:style>
  <w:style w:type="paragraph" w:styleId="BodyTextIndent2">
    <w:name w:val="Body Text Indent 2"/>
    <w:basedOn w:val="Normal"/>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ind w:left="540" w:hanging="540"/>
      <w:jc w:val="both"/>
    </w:pPr>
  </w:style>
  <w:style w:type="paragraph" w:customStyle="1" w:styleId="a1">
    <w:name w:val="ºÇ¡"/>
    <w:basedOn w:val="Normal"/>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29"/>
      <w:jc w:val="right"/>
    </w:pPr>
    <w:rPr>
      <w:rFonts w:ascii="Book Antiqua" w:hAnsi="Book Antiqua"/>
      <w:sz w:val="22"/>
      <w:szCs w:val="22"/>
      <w:lang w:val="th-TH"/>
    </w:rPr>
  </w:style>
  <w:style w:type="paragraph" w:customStyle="1" w:styleId="a2">
    <w:name w:val="Åº"/>
    <w:basedOn w:val="Normal"/>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360"/>
        <w:tab w:val="left" w:pos="720"/>
        <w:tab w:val="left" w:pos="1080"/>
      </w:tabs>
      <w:spacing w:line="240" w:lineRule="auto"/>
    </w:pPr>
    <w:rPr>
      <w:sz w:val="28"/>
      <w:szCs w:val="28"/>
      <w:lang w:val="th-TH"/>
    </w:rPr>
  </w:style>
  <w:style w:type="paragraph" w:styleId="BodyText2">
    <w:name w:val="Body Text 2"/>
    <w:basedOn w:val="Normal"/>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ind w:right="-331"/>
    </w:pPr>
    <w:rPr>
      <w:lang w:val="th-TH"/>
    </w:rPr>
  </w:style>
  <w:style w:type="paragraph" w:styleId="BodyText3">
    <w:name w:val="Body Text 3"/>
    <w:basedOn w:val="Normal"/>
    <w:pPr>
      <w:jc w:val="both"/>
    </w:pPr>
    <w:rPr>
      <w:sz w:val="32"/>
      <w:szCs w:val="32"/>
    </w:rPr>
  </w:style>
  <w:style w:type="paragraph" w:styleId="BalloonText">
    <w:name w:val="Balloon Text"/>
    <w:basedOn w:val="Normal"/>
    <w:link w:val="BalloonTextChar"/>
    <w:rsid w:val="00DA6B36"/>
    <w:pPr>
      <w:spacing w:line="240" w:lineRule="auto"/>
    </w:pPr>
    <w:rPr>
      <w:rFonts w:ascii="Tahoma" w:hAnsi="Tahoma"/>
      <w:sz w:val="16"/>
      <w:szCs w:val="20"/>
      <w:lang w:val="x-none" w:eastAsia="x-none"/>
    </w:rPr>
  </w:style>
  <w:style w:type="paragraph" w:customStyle="1" w:styleId="ASSETS">
    <w:name w:val="ASSETS"/>
    <w:basedOn w:val="Normal"/>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360"/>
      <w:jc w:val="center"/>
    </w:pPr>
    <w:rPr>
      <w:rFonts w:ascii="Book Antiqua" w:hAnsi="Book Antiqua"/>
      <w:b/>
      <w:bCs/>
      <w:sz w:val="22"/>
      <w:szCs w:val="22"/>
      <w:u w:val="single"/>
      <w:lang w:val="th-TH"/>
    </w:rPr>
  </w:style>
  <w:style w:type="paragraph" w:styleId="BlockText">
    <w:name w:val="Block Text"/>
    <w:basedOn w:val="Normal"/>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before="160" w:line="260" w:lineRule="atLeast"/>
      <w:ind w:left="540" w:right="749" w:hanging="540"/>
      <w:jc w:val="both"/>
    </w:pPr>
    <w:rPr>
      <w:rFonts w:eastAsia="MS Mincho"/>
      <w:sz w:val="22"/>
      <w:szCs w:val="22"/>
      <w:lang w:val="en-GB"/>
    </w:rPr>
  </w:style>
  <w:style w:type="paragraph" w:customStyle="1" w:styleId="E">
    <w:name w:val="ª×èÍºÃÔÉÑ· E"/>
    <w:basedOn w:val="Normal"/>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pPr>
    <w:rPr>
      <w:rFonts w:ascii="Book Antiqua" w:hAnsi="Book Antiqua"/>
      <w:b/>
      <w:bCs/>
      <w:sz w:val="22"/>
      <w:szCs w:val="22"/>
      <w:lang w:val="th-TH"/>
    </w:rPr>
  </w:style>
  <w:style w:type="character" w:customStyle="1" w:styleId="BalloonTextChar">
    <w:name w:val="Balloon Text Char"/>
    <w:link w:val="BalloonText"/>
    <w:rsid w:val="00DA6B36"/>
    <w:rPr>
      <w:rFonts w:ascii="Tahoma" w:hAnsi="Tahoma"/>
      <w:sz w:val="16"/>
    </w:rPr>
  </w:style>
  <w:style w:type="character" w:customStyle="1" w:styleId="FooterChar">
    <w:name w:val="Footer Char"/>
    <w:link w:val="Footer"/>
    <w:uiPriority w:val="99"/>
    <w:rsid w:val="00AD2C71"/>
    <w:rPr>
      <w:sz w:val="30"/>
      <w:szCs w:val="30"/>
    </w:rPr>
  </w:style>
  <w:style w:type="paragraph" w:styleId="NoSpacing">
    <w:name w:val="No Spacing"/>
    <w:uiPriority w:val="1"/>
    <w:qFormat/>
    <w:rsid w:val="006B201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pPr>
    <w:rPr>
      <w:sz w:val="30"/>
      <w:szCs w:val="38"/>
      <w:lang w:eastAsia="en-US"/>
    </w:rPr>
  </w:style>
  <w:style w:type="character" w:customStyle="1" w:styleId="Heading5Char">
    <w:name w:val="Heading 5 Char"/>
    <w:link w:val="Heading5"/>
    <w:rsid w:val="00280C92"/>
    <w:rPr>
      <w:b/>
      <w:bCs/>
      <w:sz w:val="32"/>
      <w:szCs w:val="32"/>
    </w:rPr>
  </w:style>
  <w:style w:type="paragraph" w:customStyle="1" w:styleId="RNormal">
    <w:name w:val="RNormal"/>
    <w:basedOn w:val="Normal"/>
    <w:rsid w:val="00A72595"/>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both"/>
    </w:pPr>
    <w:rPr>
      <w:sz w:val="22"/>
      <w:szCs w:val="24"/>
      <w:lang w:bidi="ar-SA"/>
    </w:rPr>
  </w:style>
  <w:style w:type="paragraph" w:customStyle="1" w:styleId="ps-000-normal">
    <w:name w:val="ps-000-normal"/>
    <w:basedOn w:val="Normal"/>
    <w:rsid w:val="003C1D1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after="120" w:line="240" w:lineRule="auto"/>
    </w:pPr>
    <w:rPr>
      <w:rFonts w:ascii="Verdana" w:hAnsi="Verdana" w:cs="Times New Roman"/>
      <w:color w:val="000000"/>
      <w:sz w:val="20"/>
      <w:szCs w:val="20"/>
    </w:rPr>
  </w:style>
  <w:style w:type="paragraph" w:styleId="ListParagraph">
    <w:name w:val="List Paragraph"/>
    <w:basedOn w:val="Normal"/>
    <w:uiPriority w:val="34"/>
    <w:qFormat/>
    <w:rsid w:val="00EB3B1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after="260" w:line="260" w:lineRule="atLeast"/>
      <w:ind w:left="720"/>
      <w:contextualSpacing/>
    </w:pPr>
    <w:rPr>
      <w:rFonts w:ascii="Calibri" w:eastAsia="Calibri" w:hAnsi="Calibri" w:cs="Cordia New"/>
      <w:sz w:val="22"/>
      <w:szCs w:val="28"/>
    </w:rPr>
  </w:style>
  <w:style w:type="table" w:styleId="TableGrid">
    <w:name w:val="Table Grid"/>
    <w:basedOn w:val="TableNormal"/>
    <w:rsid w:val="00BC5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527202">
      <w:bodyDiv w:val="1"/>
      <w:marLeft w:val="0"/>
      <w:marRight w:val="0"/>
      <w:marTop w:val="0"/>
      <w:marBottom w:val="0"/>
      <w:divBdr>
        <w:top w:val="none" w:sz="0" w:space="0" w:color="auto"/>
        <w:left w:val="none" w:sz="0" w:space="0" w:color="auto"/>
        <w:bottom w:val="none" w:sz="0" w:space="0" w:color="auto"/>
        <w:right w:val="none" w:sz="0" w:space="0" w:color="auto"/>
      </w:divBdr>
    </w:div>
    <w:div w:id="602417197">
      <w:bodyDiv w:val="1"/>
      <w:marLeft w:val="0"/>
      <w:marRight w:val="0"/>
      <w:marTop w:val="0"/>
      <w:marBottom w:val="0"/>
      <w:divBdr>
        <w:top w:val="none" w:sz="0" w:space="0" w:color="auto"/>
        <w:left w:val="none" w:sz="0" w:space="0" w:color="auto"/>
        <w:bottom w:val="none" w:sz="0" w:space="0" w:color="auto"/>
        <w:right w:val="none" w:sz="0" w:space="0" w:color="auto"/>
      </w:divBdr>
    </w:div>
    <w:div w:id="985163677">
      <w:bodyDiv w:val="1"/>
      <w:marLeft w:val="0"/>
      <w:marRight w:val="0"/>
      <w:marTop w:val="0"/>
      <w:marBottom w:val="0"/>
      <w:divBdr>
        <w:top w:val="none" w:sz="0" w:space="0" w:color="auto"/>
        <w:left w:val="none" w:sz="0" w:space="0" w:color="auto"/>
        <w:bottom w:val="none" w:sz="0" w:space="0" w:color="auto"/>
        <w:right w:val="none" w:sz="0" w:space="0" w:color="auto"/>
      </w:divBdr>
    </w:div>
    <w:div w:id="1265579537">
      <w:bodyDiv w:val="1"/>
      <w:marLeft w:val="0"/>
      <w:marRight w:val="0"/>
      <w:marTop w:val="0"/>
      <w:marBottom w:val="0"/>
      <w:divBdr>
        <w:top w:val="none" w:sz="0" w:space="0" w:color="auto"/>
        <w:left w:val="none" w:sz="0" w:space="0" w:color="auto"/>
        <w:bottom w:val="none" w:sz="0" w:space="0" w:color="auto"/>
        <w:right w:val="none" w:sz="0" w:space="0" w:color="auto"/>
      </w:divBdr>
    </w:div>
    <w:div w:id="1514101479">
      <w:bodyDiv w:val="1"/>
      <w:marLeft w:val="0"/>
      <w:marRight w:val="0"/>
      <w:marTop w:val="0"/>
      <w:marBottom w:val="0"/>
      <w:divBdr>
        <w:top w:val="none" w:sz="0" w:space="0" w:color="auto"/>
        <w:left w:val="none" w:sz="0" w:space="0" w:color="auto"/>
        <w:bottom w:val="none" w:sz="0" w:space="0" w:color="auto"/>
        <w:right w:val="none" w:sz="0" w:space="0" w:color="auto"/>
      </w:divBdr>
    </w:div>
    <w:div w:id="195686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hai%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20A0E-EE62-4EC9-A835-7C730BAB3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Thai Report.dot</Template>
  <TotalTime>83</TotalTime>
  <Pages>6</Pages>
  <Words>2052</Words>
  <Characters>11700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บริษัท ไลท์ติ้ง แอนด์ อีควิปเม้นท์ จำกัด</vt:lpstr>
    </vt:vector>
  </TitlesOfParts>
  <Company>Toshiba</Company>
  <LinksUpToDate>false</LinksUpToDate>
  <CharactersWithSpaces>13725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บริษัท ไลท์ติ้ง แอนด์ อีควิปเม้นท์ จำกัด</dc:title>
  <dc:subject/>
  <dc:creator>AA</dc:creator>
  <cp:keywords/>
  <cp:lastModifiedBy>lee ACER6</cp:lastModifiedBy>
  <cp:revision>47</cp:revision>
  <cp:lastPrinted>2026-02-26T12:30:00Z</cp:lastPrinted>
  <dcterms:created xsi:type="dcterms:W3CDTF">2025-01-07T08:21:00Z</dcterms:created>
  <dcterms:modified xsi:type="dcterms:W3CDTF">2026-02-26T15:15:00Z</dcterms:modified>
</cp:coreProperties>
</file>